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5A91" w14:textId="1E1F146D" w:rsidR="0051183C" w:rsidRDefault="00F74051" w:rsidP="00A941C9">
      <w:pPr>
        <w:jc w:val="center"/>
        <w:rPr>
          <w:rFonts w:ascii="Times New Roman" w:hAnsi="Times New Roman" w:cs="Times New Roman"/>
          <w:b/>
          <w:sz w:val="28"/>
          <w:szCs w:val="28"/>
        </w:rPr>
      </w:pPr>
      <w:r>
        <w:rPr>
          <w:rFonts w:ascii="Times New Roman" w:hAnsi="Times New Roman" w:cs="Times New Roman"/>
          <w:b/>
          <w:sz w:val="28"/>
          <w:szCs w:val="28"/>
        </w:rPr>
        <w:t xml:space="preserve"> Система образования города Кузнецка в цифрах и фактах. Публичный доклад по итогам 2019-2020 учебного года</w:t>
      </w:r>
    </w:p>
    <w:p w14:paraId="2B593762" w14:textId="77777777" w:rsidR="00A941C9" w:rsidRDefault="00A941C9" w:rsidP="00A941C9">
      <w:pPr>
        <w:jc w:val="right"/>
        <w:rPr>
          <w:rFonts w:ascii="Times New Roman" w:hAnsi="Times New Roman" w:cs="Times New Roman"/>
          <w:b/>
          <w:sz w:val="28"/>
          <w:szCs w:val="28"/>
        </w:rPr>
      </w:pPr>
      <w:r>
        <w:rPr>
          <w:rFonts w:ascii="Times New Roman" w:hAnsi="Times New Roman" w:cs="Times New Roman"/>
          <w:b/>
          <w:sz w:val="28"/>
          <w:szCs w:val="28"/>
        </w:rPr>
        <w:t>Август 2020</w:t>
      </w:r>
    </w:p>
    <w:p w14:paraId="18AE61C0" w14:textId="77777777" w:rsidR="00A941C9" w:rsidRPr="00A941C9" w:rsidRDefault="00A941C9" w:rsidP="00A941C9">
      <w:pPr>
        <w:jc w:val="both"/>
        <w:rPr>
          <w:rFonts w:ascii="Times New Roman" w:hAnsi="Times New Roman" w:cs="Times New Roman"/>
          <w:sz w:val="28"/>
          <w:szCs w:val="28"/>
        </w:rPr>
      </w:pPr>
      <w:r>
        <w:rPr>
          <w:rFonts w:ascii="Times New Roman" w:hAnsi="Times New Roman" w:cs="Times New Roman"/>
          <w:sz w:val="28"/>
          <w:szCs w:val="28"/>
        </w:rPr>
        <w:t xml:space="preserve">      В преддверии нового</w:t>
      </w:r>
      <w:r w:rsidRPr="007659A1">
        <w:t xml:space="preserve"> </w:t>
      </w:r>
      <w:r w:rsidRPr="007659A1">
        <w:rPr>
          <w:rFonts w:ascii="Times New Roman" w:hAnsi="Times New Roman" w:cs="Times New Roman"/>
          <w:sz w:val="28"/>
          <w:szCs w:val="28"/>
        </w:rPr>
        <w:t>учебного года</w:t>
      </w:r>
      <w:r>
        <w:rPr>
          <w:rFonts w:ascii="Times New Roman" w:hAnsi="Times New Roman" w:cs="Times New Roman"/>
          <w:sz w:val="28"/>
          <w:szCs w:val="28"/>
        </w:rPr>
        <w:t xml:space="preserve"> принято подводить итоги году ушедшему.  Структура сети образовательных организаций в 2019-2020 уч. году не изменялась. В системе </w:t>
      </w:r>
      <w:r w:rsidRPr="00A941C9">
        <w:rPr>
          <w:rFonts w:ascii="Times New Roman" w:hAnsi="Times New Roman" w:cs="Times New Roman"/>
          <w:sz w:val="28"/>
          <w:szCs w:val="28"/>
        </w:rPr>
        <w:t xml:space="preserve">32 учреждения образования, в том числе:  </w:t>
      </w:r>
    </w:p>
    <w:p w14:paraId="74E8D099" w14:textId="77777777" w:rsidR="00A941C9" w:rsidRDefault="00A941C9" w:rsidP="00A941C9">
      <w:pPr>
        <w:pStyle w:val="a4"/>
        <w:numPr>
          <w:ilvl w:val="0"/>
          <w:numId w:val="1"/>
        </w:numPr>
        <w:jc w:val="both"/>
        <w:rPr>
          <w:rFonts w:ascii="Times New Roman" w:hAnsi="Times New Roman" w:cs="Times New Roman"/>
          <w:sz w:val="28"/>
          <w:szCs w:val="28"/>
        </w:rPr>
      </w:pPr>
      <w:r w:rsidRPr="00A941C9">
        <w:rPr>
          <w:rFonts w:ascii="Times New Roman" w:hAnsi="Times New Roman" w:cs="Times New Roman"/>
          <w:sz w:val="28"/>
          <w:szCs w:val="28"/>
        </w:rPr>
        <w:t>11 дошкольных  образовательных организаций (среди которых 1 детский сад компенсирующего в</w:t>
      </w:r>
      <w:r>
        <w:rPr>
          <w:rFonts w:ascii="Times New Roman" w:hAnsi="Times New Roman" w:cs="Times New Roman"/>
          <w:sz w:val="28"/>
          <w:szCs w:val="28"/>
        </w:rPr>
        <w:t>ида- 4565</w:t>
      </w:r>
      <w:r w:rsidRPr="00A941C9">
        <w:rPr>
          <w:rFonts w:ascii="Times New Roman" w:hAnsi="Times New Roman" w:cs="Times New Roman"/>
          <w:sz w:val="28"/>
          <w:szCs w:val="28"/>
        </w:rPr>
        <w:t xml:space="preserve"> чел.);</w:t>
      </w:r>
    </w:p>
    <w:p w14:paraId="22977339" w14:textId="77777777" w:rsidR="00A941C9" w:rsidRDefault="00A941C9" w:rsidP="00A941C9">
      <w:pPr>
        <w:pStyle w:val="a4"/>
        <w:numPr>
          <w:ilvl w:val="0"/>
          <w:numId w:val="1"/>
        </w:numPr>
        <w:jc w:val="both"/>
        <w:rPr>
          <w:rFonts w:ascii="Times New Roman" w:hAnsi="Times New Roman" w:cs="Times New Roman"/>
          <w:sz w:val="28"/>
          <w:szCs w:val="28"/>
        </w:rPr>
      </w:pPr>
      <w:r w:rsidRPr="00A941C9">
        <w:rPr>
          <w:rFonts w:ascii="Times New Roman" w:hAnsi="Times New Roman" w:cs="Times New Roman"/>
          <w:sz w:val="28"/>
          <w:szCs w:val="28"/>
        </w:rPr>
        <w:t>15 общеобразовательных организаций (из них 2 гимназии, 1 лицей) –9073 чел.;</w:t>
      </w:r>
    </w:p>
    <w:p w14:paraId="272C0C14" w14:textId="77777777" w:rsidR="00A941C9" w:rsidRDefault="00A941C9" w:rsidP="00A941C9">
      <w:pPr>
        <w:pStyle w:val="a4"/>
        <w:numPr>
          <w:ilvl w:val="0"/>
          <w:numId w:val="1"/>
        </w:numPr>
        <w:jc w:val="both"/>
        <w:rPr>
          <w:rFonts w:ascii="Times New Roman" w:hAnsi="Times New Roman" w:cs="Times New Roman"/>
          <w:sz w:val="28"/>
          <w:szCs w:val="28"/>
        </w:rPr>
      </w:pPr>
      <w:r w:rsidRPr="00A941C9">
        <w:rPr>
          <w:rFonts w:ascii="Times New Roman" w:hAnsi="Times New Roman" w:cs="Times New Roman"/>
          <w:sz w:val="28"/>
          <w:szCs w:val="28"/>
        </w:rPr>
        <w:t>5 учреждений дополнительного образования детей (МБОУ ДО ДЮСШ №1, МБОУ ДО ДЮСШ №2, МБОУ ДО центр детского творчества, МБОУ ДО станция юных натуралистов, МБОУ ДО детский (подростковый) центр «Росток» города Кузнецка – 5866 чел.</w:t>
      </w:r>
      <w:r w:rsidRPr="00A941C9">
        <w:t xml:space="preserve"> </w:t>
      </w:r>
      <w:r w:rsidRPr="00A941C9">
        <w:rPr>
          <w:rFonts w:ascii="Times New Roman" w:hAnsi="Times New Roman" w:cs="Times New Roman"/>
          <w:sz w:val="28"/>
          <w:szCs w:val="28"/>
        </w:rPr>
        <w:t>(8091 всего по городу);</w:t>
      </w:r>
      <w:r>
        <w:rPr>
          <w:rFonts w:ascii="Times New Roman" w:hAnsi="Times New Roman" w:cs="Times New Roman"/>
          <w:sz w:val="28"/>
          <w:szCs w:val="28"/>
        </w:rPr>
        <w:t xml:space="preserve"> </w:t>
      </w:r>
    </w:p>
    <w:p w14:paraId="5FD821D9" w14:textId="77777777" w:rsidR="005E51D7" w:rsidRPr="00F34B7A" w:rsidRDefault="00A941C9" w:rsidP="008F7A80">
      <w:pPr>
        <w:pStyle w:val="a4"/>
        <w:numPr>
          <w:ilvl w:val="0"/>
          <w:numId w:val="1"/>
        </w:numPr>
        <w:jc w:val="both"/>
        <w:rPr>
          <w:rFonts w:ascii="Times New Roman" w:hAnsi="Times New Roman" w:cs="Times New Roman"/>
          <w:sz w:val="28"/>
          <w:szCs w:val="28"/>
        </w:rPr>
      </w:pPr>
      <w:r w:rsidRPr="00A941C9">
        <w:rPr>
          <w:rFonts w:ascii="Times New Roman" w:hAnsi="Times New Roman" w:cs="Times New Roman"/>
          <w:sz w:val="28"/>
          <w:szCs w:val="28"/>
        </w:rPr>
        <w:t>загородный  детский оздоровительный лагерь «Луч» - 528 детей.</w:t>
      </w:r>
      <w:r w:rsidRPr="00F34B7A">
        <w:rPr>
          <w:rFonts w:ascii="Times New Roman" w:hAnsi="Times New Roman" w:cs="Times New Roman"/>
          <w:sz w:val="28"/>
          <w:szCs w:val="28"/>
        </w:rPr>
        <w:t xml:space="preserve"> </w:t>
      </w:r>
    </w:p>
    <w:p w14:paraId="01975FB9" w14:textId="77777777" w:rsidR="008F7A80" w:rsidRPr="008F7A80" w:rsidRDefault="00F34B7A" w:rsidP="008F7A8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«Средни</w:t>
      </w:r>
      <w:r w:rsidR="008F7A80" w:rsidRPr="008F7A80">
        <w:rPr>
          <w:rFonts w:ascii="Times New Roman" w:hAnsi="Times New Roman" w:cs="Times New Roman"/>
          <w:sz w:val="28"/>
          <w:szCs w:val="28"/>
        </w:rPr>
        <w:t>й возраст» дошкольных учреждений – 45 лет (42% износа). «Средний возраст»  школ – 51 год (48% износа).</w:t>
      </w:r>
    </w:p>
    <w:p w14:paraId="273FE02D" w14:textId="77777777" w:rsidR="008F7A80" w:rsidRPr="008F7A80" w:rsidRDefault="008F7A80" w:rsidP="008F7A80">
      <w:pPr>
        <w:tabs>
          <w:tab w:val="left" w:pos="142"/>
        </w:tabs>
        <w:spacing w:after="0"/>
        <w:jc w:val="both"/>
        <w:rPr>
          <w:rFonts w:ascii="Times New Roman" w:hAnsi="Times New Roman" w:cs="Times New Roman"/>
          <w:sz w:val="28"/>
          <w:szCs w:val="28"/>
        </w:rPr>
      </w:pPr>
      <w:r w:rsidRPr="008F7A80">
        <w:rPr>
          <w:rFonts w:ascii="Times New Roman" w:hAnsi="Times New Roman" w:cs="Times New Roman"/>
          <w:sz w:val="28"/>
          <w:szCs w:val="28"/>
        </w:rPr>
        <w:t xml:space="preserve">       Для поддержания работоспособности действующей инфраструктуры прилагаются особые усилия. Так с 2012 года капитально отремонтированы здания 5 детских садов. В 2015 году приобретено здание нового детского сада на 245 мест. В МБДОУ ДС №37 в рамках программы «Доступная среда» созданы условия для детей-инвалидов.  В рамках участия Пензенской области в федеральном проекте по созданию дополнительных мест для детей в возрасте от двух месяцев до трех лет в образовательных организациях, реализующих программы дошкольного образования, в городе Кузнецке построены: корпус № 3 МБДОУ ДС № 28 города Кузнецка и корпус № 5 МБДОУ ДС № 29 города Кузнецка. Каждый корпус рассчитан на размещение 60 детей ясельного возраста. В 2020 году в рамках программы   «Развитие территорий, социальной и инженерной инфраструктуры, обеспечение транспортных услуг в Пензенской области на 2014-2020 годы» на условиях </w:t>
      </w:r>
      <w:proofErr w:type="spellStart"/>
      <w:r w:rsidRPr="008F7A80">
        <w:rPr>
          <w:rFonts w:ascii="Times New Roman" w:hAnsi="Times New Roman" w:cs="Times New Roman"/>
          <w:sz w:val="28"/>
          <w:szCs w:val="28"/>
        </w:rPr>
        <w:t>софинансирования</w:t>
      </w:r>
      <w:proofErr w:type="spellEnd"/>
      <w:r w:rsidRPr="008F7A80">
        <w:rPr>
          <w:rFonts w:ascii="Times New Roman" w:hAnsi="Times New Roman" w:cs="Times New Roman"/>
          <w:sz w:val="28"/>
          <w:szCs w:val="28"/>
        </w:rPr>
        <w:t xml:space="preserve"> проводится капитальный ремонт  в МБДОУ ДС №24 города Кузнецка.    </w:t>
      </w:r>
      <w:r w:rsidR="00F34B7A" w:rsidRPr="00F34B7A">
        <w:rPr>
          <w:rFonts w:ascii="Times New Roman" w:hAnsi="Times New Roman" w:cs="Times New Roman"/>
          <w:sz w:val="28"/>
          <w:szCs w:val="28"/>
        </w:rPr>
        <w:t xml:space="preserve">Из образовательного процесса выведено здание корпуса №2 МБДОУ ДС №24 по причине аварийности. Данный факт не повлиял на обеспеченность местами в детском саду детей дошкольного возраста, все дети перераспределены в ближайшие корпуса детских садов на свободные </w:t>
      </w:r>
      <w:r w:rsidR="00F34B7A" w:rsidRPr="00F34B7A">
        <w:rPr>
          <w:rFonts w:ascii="Times New Roman" w:hAnsi="Times New Roman" w:cs="Times New Roman"/>
          <w:sz w:val="28"/>
          <w:szCs w:val="28"/>
        </w:rPr>
        <w:lastRenderedPageBreak/>
        <w:t>места.</w:t>
      </w:r>
      <w:r w:rsidR="00F34B7A">
        <w:rPr>
          <w:rFonts w:ascii="Times New Roman" w:hAnsi="Times New Roman" w:cs="Times New Roman"/>
          <w:sz w:val="28"/>
          <w:szCs w:val="28"/>
        </w:rPr>
        <w:t xml:space="preserve"> </w:t>
      </w:r>
      <w:r w:rsidRPr="008F7A80">
        <w:rPr>
          <w:rFonts w:ascii="Times New Roman" w:hAnsi="Times New Roman" w:cs="Times New Roman"/>
          <w:sz w:val="28"/>
          <w:szCs w:val="28"/>
        </w:rPr>
        <w:t>На новый учебный 2020/2021год проблемы нехватки мест в детских садах не имеется.</w:t>
      </w:r>
    </w:p>
    <w:p w14:paraId="5887D904" w14:textId="77777777" w:rsidR="008F7A80" w:rsidRDefault="008F7A80" w:rsidP="008F7A80">
      <w:pPr>
        <w:tabs>
          <w:tab w:val="left" w:pos="142"/>
        </w:tabs>
        <w:spacing w:after="0"/>
        <w:jc w:val="both"/>
        <w:rPr>
          <w:rFonts w:ascii="Times New Roman" w:hAnsi="Times New Roman" w:cs="Times New Roman"/>
          <w:sz w:val="28"/>
          <w:szCs w:val="28"/>
        </w:rPr>
      </w:pPr>
      <w:r w:rsidRPr="008F7A80">
        <w:rPr>
          <w:rFonts w:ascii="Times New Roman" w:hAnsi="Times New Roman" w:cs="Times New Roman"/>
          <w:sz w:val="28"/>
          <w:szCs w:val="28"/>
        </w:rPr>
        <w:t xml:space="preserve">       С 2017 года участниками программы Пензенской области «Развитие территорий, социальной и инженерной инфраструктуры, обеспечение транспортных услуг в Пензенской области на 2014-2020 годы», в рамках которой проводятся капитальные ремонты в школах Пензенской области, стали 7 учреждений общего образования (МБОУ СОШ № 1,3,5,10,14,16,21). В 2020 году капитальный ремонт проводится в МБОУ СОШ №2 города Кузнецка. Все работы проводятся на условиях </w:t>
      </w:r>
      <w:proofErr w:type="spellStart"/>
      <w:r w:rsidRPr="008F7A80">
        <w:rPr>
          <w:rFonts w:ascii="Times New Roman" w:hAnsi="Times New Roman" w:cs="Times New Roman"/>
          <w:sz w:val="28"/>
          <w:szCs w:val="28"/>
        </w:rPr>
        <w:t>софинансирования</w:t>
      </w:r>
      <w:proofErr w:type="spellEnd"/>
      <w:r w:rsidRPr="008F7A80">
        <w:rPr>
          <w:rFonts w:ascii="Times New Roman" w:hAnsi="Times New Roman" w:cs="Times New Roman"/>
          <w:sz w:val="28"/>
          <w:szCs w:val="28"/>
        </w:rPr>
        <w:t xml:space="preserve"> из бюджета Пензенской области и бюджета города Кузнецка. В МБОУ СОШ №6 города Кузнецка в 2019 году проведен капитальный ремонт за счет средств компании «Транснефть». В 2020 году в  МБОУ гимназии №9 города Кузнецка </w:t>
      </w:r>
      <w:r>
        <w:rPr>
          <w:rFonts w:ascii="Times New Roman" w:hAnsi="Times New Roman" w:cs="Times New Roman"/>
          <w:sz w:val="28"/>
          <w:szCs w:val="28"/>
        </w:rPr>
        <w:t xml:space="preserve">проведен </w:t>
      </w:r>
      <w:r w:rsidRPr="008F7A80">
        <w:rPr>
          <w:rFonts w:ascii="Times New Roman" w:hAnsi="Times New Roman" w:cs="Times New Roman"/>
          <w:sz w:val="28"/>
          <w:szCs w:val="28"/>
        </w:rPr>
        <w:t>ремонт за счет средств бюджета города Кузнецка.</w:t>
      </w:r>
    </w:p>
    <w:p w14:paraId="6E9D5C68" w14:textId="77777777" w:rsidR="00951CF3" w:rsidRDefault="008F7A80" w:rsidP="008F7A80">
      <w:pPr>
        <w:tabs>
          <w:tab w:val="left" w:pos="142"/>
        </w:tabs>
        <w:spacing w:after="0"/>
        <w:jc w:val="both"/>
        <w:rPr>
          <w:rFonts w:ascii="Times New Roman" w:hAnsi="Times New Roman" w:cs="Times New Roman"/>
          <w:sz w:val="28"/>
          <w:szCs w:val="28"/>
        </w:rPr>
      </w:pPr>
      <w:r w:rsidRPr="008F7A80">
        <w:rPr>
          <w:rFonts w:ascii="Times New Roman" w:hAnsi="Times New Roman" w:cs="Times New Roman"/>
          <w:sz w:val="28"/>
          <w:szCs w:val="28"/>
        </w:rPr>
        <w:t xml:space="preserve">     В июле 2020 года состоялась конкурсная защита проекта «Наш теплый дом» МБДОУ ДС №37 города Кузнецка, проведенный Благотворительным фондом «Поколение АШАН». Основная цель данного проекта Благотворительного фонда «Поколение АШАН» помочь детям с ограниченными возможностями здоровья, детям-инвалидам с ДЦП, обустроить детскую инклюзивную игровую площадку с мягким покрытием, со специализированными каруселями, приобрести детские инвалидные коляски, заменить старые окна в группе и музыкальном зале, обустроить теневой навес на территории детского сада №37. Данный проект был принят единогласно всеми членами Благотворительного фонда. Первоначальная стоимость проекта была 2 млн. рублей, в процессе защиты фонд увеличил сумму до 2 млн. 250 тыс. рублей.</w:t>
      </w:r>
    </w:p>
    <w:p w14:paraId="25EF0429" w14:textId="77777777" w:rsidR="008F7A80" w:rsidRDefault="008F7A80" w:rsidP="008F7A80">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Предельная наполняемость  в 2019-2020 учебном году была достигнута в МБОУ СОШ № 8,14,15, лицее №21. Имеется резерв мест в МБОУ СОШ № 3, 6, 10. </w:t>
      </w:r>
    </w:p>
    <w:p w14:paraId="5D7F4E77" w14:textId="77777777" w:rsidR="008F7A80" w:rsidRDefault="008F7A80" w:rsidP="008F7A80">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Проблем с транспортной доступностью в учреждениях образования не имеется. В МБОУ СОШ №4 им. Е. Родионова подвоз детей из района «</w:t>
      </w:r>
      <w:proofErr w:type="spellStart"/>
      <w:r>
        <w:rPr>
          <w:rFonts w:ascii="Times New Roman" w:hAnsi="Times New Roman" w:cs="Times New Roman"/>
          <w:sz w:val="28"/>
          <w:szCs w:val="28"/>
        </w:rPr>
        <w:t>Бутурлинка</w:t>
      </w:r>
      <w:proofErr w:type="spellEnd"/>
      <w:r>
        <w:rPr>
          <w:rFonts w:ascii="Times New Roman" w:hAnsi="Times New Roman" w:cs="Times New Roman"/>
          <w:sz w:val="28"/>
          <w:szCs w:val="28"/>
        </w:rPr>
        <w:t>» осуществляется на школьном автобусе (20 мест). В 2019 году за счет средств бюджета Пензенской области приобретен автобус (Газель на 12 мест) для подвоза обучающихся МБОУ СОШ №6 из района «Дружба», в 2020 году автобус (Газель на 12 мест) для подвоза обучающихся МБОУ СОШ №17 из района</w:t>
      </w:r>
      <w:r w:rsidR="002777BE">
        <w:rPr>
          <w:rFonts w:ascii="Times New Roman" w:hAnsi="Times New Roman" w:cs="Times New Roman"/>
          <w:sz w:val="28"/>
          <w:szCs w:val="28"/>
        </w:rPr>
        <w:t xml:space="preserve"> Нефтебазы</w:t>
      </w:r>
      <w:r>
        <w:rPr>
          <w:rFonts w:ascii="Times New Roman" w:hAnsi="Times New Roman" w:cs="Times New Roman"/>
          <w:sz w:val="28"/>
          <w:szCs w:val="28"/>
        </w:rPr>
        <w:t>.</w:t>
      </w:r>
    </w:p>
    <w:p w14:paraId="77F2268F" w14:textId="77777777" w:rsidR="008F7A80" w:rsidRDefault="008F7A80" w:rsidP="008F7A80">
      <w:pPr>
        <w:tabs>
          <w:tab w:val="left" w:pos="142"/>
        </w:tabs>
        <w:spacing w:after="0"/>
        <w:jc w:val="both"/>
        <w:rPr>
          <w:rFonts w:ascii="Times New Roman" w:hAnsi="Times New Roman" w:cs="Times New Roman"/>
          <w:sz w:val="28"/>
          <w:szCs w:val="28"/>
        </w:rPr>
      </w:pPr>
    </w:p>
    <w:p w14:paraId="1FBE3B68" w14:textId="77777777" w:rsidR="008F7A80" w:rsidRPr="008F7A80" w:rsidRDefault="008F7A80" w:rsidP="008F7A8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Продолжая тему</w:t>
      </w:r>
      <w:r w:rsidR="00F34B7A">
        <w:rPr>
          <w:rFonts w:ascii="Times New Roman" w:hAnsi="Times New Roman" w:cs="Times New Roman"/>
          <w:sz w:val="28"/>
          <w:szCs w:val="28"/>
        </w:rPr>
        <w:t>,</w:t>
      </w:r>
      <w:r>
        <w:rPr>
          <w:rFonts w:ascii="Times New Roman" w:hAnsi="Times New Roman" w:cs="Times New Roman"/>
          <w:sz w:val="28"/>
          <w:szCs w:val="28"/>
        </w:rPr>
        <w:t xml:space="preserve"> нельзя не сказать о нашем главном потенциале – кадровом.</w:t>
      </w:r>
    </w:p>
    <w:tbl>
      <w:tblPr>
        <w:tblStyle w:val="a6"/>
        <w:tblW w:w="0" w:type="auto"/>
        <w:tblLayout w:type="fixed"/>
        <w:tblLook w:val="04A0" w:firstRow="1" w:lastRow="0" w:firstColumn="1" w:lastColumn="0" w:noHBand="0" w:noVBand="1"/>
      </w:tblPr>
      <w:tblGrid>
        <w:gridCol w:w="747"/>
        <w:gridCol w:w="1204"/>
        <w:gridCol w:w="829"/>
        <w:gridCol w:w="1156"/>
        <w:gridCol w:w="1417"/>
        <w:gridCol w:w="1263"/>
        <w:gridCol w:w="1430"/>
        <w:gridCol w:w="1950"/>
      </w:tblGrid>
      <w:tr w:rsidR="008F7A80" w:rsidRPr="008F752C" w14:paraId="356CC4C3" w14:textId="77777777" w:rsidTr="002777BE">
        <w:tc>
          <w:tcPr>
            <w:tcW w:w="747" w:type="dxa"/>
            <w:vMerge w:val="restart"/>
          </w:tcPr>
          <w:p w14:paraId="5FF9B735" w14:textId="77777777" w:rsidR="008F7A80" w:rsidRPr="008F752C" w:rsidRDefault="008F7A80" w:rsidP="002777BE">
            <w:pPr>
              <w:jc w:val="both"/>
              <w:rPr>
                <w:rFonts w:ascii="Times New Roman" w:hAnsi="Times New Roman" w:cs="Times New Roman"/>
                <w:b/>
                <w:sz w:val="24"/>
                <w:szCs w:val="24"/>
              </w:rPr>
            </w:pPr>
          </w:p>
        </w:tc>
        <w:tc>
          <w:tcPr>
            <w:tcW w:w="1204" w:type="dxa"/>
            <w:vMerge w:val="restart"/>
          </w:tcPr>
          <w:p w14:paraId="09F64F76" w14:textId="77777777" w:rsidR="008F7A80" w:rsidRPr="008F752C" w:rsidRDefault="008F7A80" w:rsidP="002777BE">
            <w:pPr>
              <w:jc w:val="both"/>
              <w:rPr>
                <w:rFonts w:ascii="Times New Roman" w:hAnsi="Times New Roman" w:cs="Times New Roman"/>
                <w:b/>
                <w:sz w:val="20"/>
                <w:szCs w:val="20"/>
              </w:rPr>
            </w:pPr>
            <w:r w:rsidRPr="008F752C">
              <w:rPr>
                <w:rFonts w:ascii="Times New Roman" w:hAnsi="Times New Roman" w:cs="Times New Roman"/>
                <w:sz w:val="20"/>
                <w:szCs w:val="20"/>
              </w:rPr>
              <w:t xml:space="preserve">Общее количество </w:t>
            </w:r>
            <w:r w:rsidRPr="008F752C">
              <w:rPr>
                <w:rFonts w:ascii="Times New Roman" w:hAnsi="Times New Roman" w:cs="Times New Roman"/>
                <w:sz w:val="20"/>
                <w:szCs w:val="20"/>
              </w:rPr>
              <w:lastRenderedPageBreak/>
              <w:t>работников (чел.)</w:t>
            </w:r>
          </w:p>
        </w:tc>
        <w:tc>
          <w:tcPr>
            <w:tcW w:w="3402" w:type="dxa"/>
            <w:gridSpan w:val="3"/>
          </w:tcPr>
          <w:p w14:paraId="4953283A" w14:textId="77777777" w:rsidR="008F7A80" w:rsidRPr="008F752C" w:rsidRDefault="008F7A80" w:rsidP="002777BE">
            <w:pPr>
              <w:jc w:val="both"/>
              <w:rPr>
                <w:rFonts w:ascii="Times New Roman" w:hAnsi="Times New Roman" w:cs="Times New Roman"/>
                <w:b/>
                <w:sz w:val="20"/>
                <w:szCs w:val="20"/>
              </w:rPr>
            </w:pPr>
            <w:r w:rsidRPr="008F752C">
              <w:rPr>
                <w:rFonts w:ascii="Times New Roman" w:hAnsi="Times New Roman" w:cs="Times New Roman"/>
                <w:sz w:val="20"/>
                <w:szCs w:val="20"/>
              </w:rPr>
              <w:lastRenderedPageBreak/>
              <w:t>Педагогических работников</w:t>
            </w:r>
          </w:p>
          <w:p w14:paraId="163B020E" w14:textId="77777777" w:rsidR="008F7A80" w:rsidRPr="008F752C" w:rsidRDefault="008F7A80" w:rsidP="002777BE">
            <w:pPr>
              <w:jc w:val="both"/>
              <w:rPr>
                <w:rFonts w:ascii="Times New Roman" w:hAnsi="Times New Roman" w:cs="Times New Roman"/>
                <w:b/>
                <w:sz w:val="20"/>
                <w:szCs w:val="20"/>
              </w:rPr>
            </w:pPr>
            <w:r w:rsidRPr="008F752C">
              <w:rPr>
                <w:rFonts w:ascii="Times New Roman" w:hAnsi="Times New Roman" w:cs="Times New Roman"/>
                <w:sz w:val="20"/>
                <w:szCs w:val="20"/>
              </w:rPr>
              <w:t>(чел.)</w:t>
            </w:r>
          </w:p>
        </w:tc>
        <w:tc>
          <w:tcPr>
            <w:tcW w:w="1263" w:type="dxa"/>
          </w:tcPr>
          <w:p w14:paraId="70CA8369" w14:textId="77777777" w:rsidR="008F7A80" w:rsidRPr="008F752C" w:rsidRDefault="008F7A80" w:rsidP="002777BE">
            <w:pPr>
              <w:jc w:val="both"/>
              <w:rPr>
                <w:rFonts w:ascii="Times New Roman" w:hAnsi="Times New Roman" w:cs="Times New Roman"/>
                <w:b/>
                <w:sz w:val="20"/>
                <w:szCs w:val="20"/>
              </w:rPr>
            </w:pPr>
            <w:proofErr w:type="spellStart"/>
            <w:r w:rsidRPr="008F752C">
              <w:rPr>
                <w:rFonts w:ascii="Times New Roman" w:hAnsi="Times New Roman" w:cs="Times New Roman"/>
                <w:sz w:val="20"/>
                <w:szCs w:val="20"/>
              </w:rPr>
              <w:t>Воспита-телей</w:t>
            </w:r>
            <w:proofErr w:type="spellEnd"/>
          </w:p>
          <w:p w14:paraId="2420596B" w14:textId="77777777" w:rsidR="008F7A80" w:rsidRPr="008F752C" w:rsidRDefault="008F7A80" w:rsidP="002777BE">
            <w:pPr>
              <w:jc w:val="both"/>
              <w:rPr>
                <w:rFonts w:ascii="Times New Roman" w:hAnsi="Times New Roman" w:cs="Times New Roman"/>
                <w:b/>
                <w:sz w:val="20"/>
                <w:szCs w:val="20"/>
              </w:rPr>
            </w:pPr>
            <w:r w:rsidRPr="008F752C">
              <w:rPr>
                <w:rFonts w:ascii="Times New Roman" w:hAnsi="Times New Roman" w:cs="Times New Roman"/>
                <w:sz w:val="20"/>
                <w:szCs w:val="20"/>
              </w:rPr>
              <w:lastRenderedPageBreak/>
              <w:t>(чел.)</w:t>
            </w:r>
          </w:p>
        </w:tc>
        <w:tc>
          <w:tcPr>
            <w:tcW w:w="1430" w:type="dxa"/>
          </w:tcPr>
          <w:p w14:paraId="08132488" w14:textId="77777777" w:rsidR="008F7A80" w:rsidRPr="008F752C" w:rsidRDefault="008F7A80" w:rsidP="002777BE">
            <w:pPr>
              <w:jc w:val="both"/>
              <w:rPr>
                <w:rFonts w:ascii="Times New Roman" w:hAnsi="Times New Roman" w:cs="Times New Roman"/>
                <w:b/>
                <w:sz w:val="20"/>
                <w:szCs w:val="20"/>
              </w:rPr>
            </w:pPr>
            <w:r w:rsidRPr="008F752C">
              <w:rPr>
                <w:rFonts w:ascii="Times New Roman" w:hAnsi="Times New Roman" w:cs="Times New Roman"/>
                <w:sz w:val="20"/>
                <w:szCs w:val="20"/>
              </w:rPr>
              <w:lastRenderedPageBreak/>
              <w:t>Учителей (чел.)</w:t>
            </w:r>
          </w:p>
        </w:tc>
        <w:tc>
          <w:tcPr>
            <w:tcW w:w="1950" w:type="dxa"/>
          </w:tcPr>
          <w:p w14:paraId="616D33E5" w14:textId="77777777" w:rsidR="008F7A80" w:rsidRPr="008F752C" w:rsidRDefault="008F7A80" w:rsidP="002777BE">
            <w:pPr>
              <w:jc w:val="both"/>
              <w:rPr>
                <w:rFonts w:ascii="Times New Roman" w:hAnsi="Times New Roman" w:cs="Times New Roman"/>
                <w:b/>
                <w:sz w:val="20"/>
                <w:szCs w:val="20"/>
              </w:rPr>
            </w:pPr>
            <w:proofErr w:type="gramStart"/>
            <w:r w:rsidRPr="008F752C">
              <w:rPr>
                <w:rFonts w:ascii="Times New Roman" w:hAnsi="Times New Roman" w:cs="Times New Roman"/>
                <w:sz w:val="20"/>
                <w:szCs w:val="20"/>
              </w:rPr>
              <w:t>Укомплектован-</w:t>
            </w:r>
            <w:proofErr w:type="spellStart"/>
            <w:r w:rsidRPr="008F752C">
              <w:rPr>
                <w:rFonts w:ascii="Times New Roman" w:hAnsi="Times New Roman" w:cs="Times New Roman"/>
                <w:sz w:val="20"/>
                <w:szCs w:val="20"/>
              </w:rPr>
              <w:t>ность</w:t>
            </w:r>
            <w:proofErr w:type="spellEnd"/>
            <w:proofErr w:type="gramEnd"/>
            <w:r w:rsidRPr="008F752C">
              <w:rPr>
                <w:rFonts w:ascii="Times New Roman" w:hAnsi="Times New Roman" w:cs="Times New Roman"/>
                <w:sz w:val="20"/>
                <w:szCs w:val="20"/>
              </w:rPr>
              <w:t xml:space="preserve"> штата (%)</w:t>
            </w:r>
          </w:p>
        </w:tc>
      </w:tr>
      <w:tr w:rsidR="008F7A80" w:rsidRPr="008F752C" w14:paraId="46E3B16F" w14:textId="77777777" w:rsidTr="002777BE">
        <w:tc>
          <w:tcPr>
            <w:tcW w:w="747" w:type="dxa"/>
            <w:vMerge/>
          </w:tcPr>
          <w:p w14:paraId="28C54E40" w14:textId="77777777" w:rsidR="008F7A80" w:rsidRPr="008F752C" w:rsidRDefault="008F7A80" w:rsidP="002777BE">
            <w:pPr>
              <w:jc w:val="both"/>
              <w:rPr>
                <w:rFonts w:ascii="Times New Roman" w:hAnsi="Times New Roman" w:cs="Times New Roman"/>
                <w:b/>
                <w:sz w:val="24"/>
                <w:szCs w:val="24"/>
              </w:rPr>
            </w:pPr>
          </w:p>
        </w:tc>
        <w:tc>
          <w:tcPr>
            <w:tcW w:w="1204" w:type="dxa"/>
            <w:vMerge/>
          </w:tcPr>
          <w:p w14:paraId="3457A5D2" w14:textId="77777777" w:rsidR="008F7A80" w:rsidRPr="008F752C" w:rsidRDefault="008F7A80" w:rsidP="002777BE">
            <w:pPr>
              <w:jc w:val="both"/>
              <w:rPr>
                <w:rFonts w:ascii="Times New Roman" w:hAnsi="Times New Roman" w:cs="Times New Roman"/>
                <w:b/>
                <w:sz w:val="20"/>
                <w:szCs w:val="20"/>
              </w:rPr>
            </w:pPr>
          </w:p>
        </w:tc>
        <w:tc>
          <w:tcPr>
            <w:tcW w:w="829" w:type="dxa"/>
          </w:tcPr>
          <w:p w14:paraId="21814873" w14:textId="77777777" w:rsidR="008F7A80" w:rsidRPr="008F752C" w:rsidRDefault="008F7A80" w:rsidP="002777BE">
            <w:pPr>
              <w:jc w:val="both"/>
              <w:rPr>
                <w:rFonts w:ascii="Times New Roman" w:hAnsi="Times New Roman" w:cs="Times New Roman"/>
                <w:b/>
                <w:sz w:val="20"/>
                <w:szCs w:val="20"/>
              </w:rPr>
            </w:pPr>
            <w:r w:rsidRPr="008F752C">
              <w:rPr>
                <w:rFonts w:ascii="Times New Roman" w:hAnsi="Times New Roman" w:cs="Times New Roman"/>
                <w:sz w:val="20"/>
                <w:szCs w:val="20"/>
              </w:rPr>
              <w:t>Всего</w:t>
            </w:r>
          </w:p>
        </w:tc>
        <w:tc>
          <w:tcPr>
            <w:tcW w:w="1156" w:type="dxa"/>
          </w:tcPr>
          <w:p w14:paraId="77C5317A" w14:textId="77777777" w:rsidR="008F7A80" w:rsidRPr="008F752C" w:rsidRDefault="008F7A80" w:rsidP="002777BE">
            <w:pPr>
              <w:jc w:val="both"/>
              <w:rPr>
                <w:rFonts w:ascii="Times New Roman" w:hAnsi="Times New Roman" w:cs="Times New Roman"/>
                <w:b/>
                <w:sz w:val="20"/>
                <w:szCs w:val="20"/>
              </w:rPr>
            </w:pPr>
            <w:r w:rsidRPr="008F752C">
              <w:rPr>
                <w:rFonts w:ascii="Times New Roman" w:hAnsi="Times New Roman" w:cs="Times New Roman"/>
                <w:sz w:val="20"/>
                <w:szCs w:val="20"/>
              </w:rPr>
              <w:t>В возрасте до 35 лет</w:t>
            </w:r>
          </w:p>
        </w:tc>
        <w:tc>
          <w:tcPr>
            <w:tcW w:w="1417" w:type="dxa"/>
          </w:tcPr>
          <w:p w14:paraId="6307FD05" w14:textId="77777777" w:rsidR="008F7A80" w:rsidRPr="008F752C" w:rsidRDefault="008F7A80" w:rsidP="002777BE">
            <w:pPr>
              <w:jc w:val="both"/>
              <w:rPr>
                <w:rFonts w:ascii="Times New Roman" w:hAnsi="Times New Roman" w:cs="Times New Roman"/>
                <w:b/>
                <w:sz w:val="20"/>
                <w:szCs w:val="20"/>
              </w:rPr>
            </w:pPr>
            <w:r w:rsidRPr="008F752C">
              <w:rPr>
                <w:rFonts w:ascii="Times New Roman" w:hAnsi="Times New Roman" w:cs="Times New Roman"/>
                <w:sz w:val="20"/>
                <w:szCs w:val="20"/>
              </w:rPr>
              <w:t>Пенсионного возраста</w:t>
            </w:r>
          </w:p>
        </w:tc>
        <w:tc>
          <w:tcPr>
            <w:tcW w:w="1263" w:type="dxa"/>
          </w:tcPr>
          <w:p w14:paraId="448291A4" w14:textId="77777777" w:rsidR="008F7A80" w:rsidRPr="008F752C" w:rsidRDefault="008F7A80" w:rsidP="002777BE">
            <w:pPr>
              <w:jc w:val="both"/>
              <w:rPr>
                <w:rFonts w:ascii="Times New Roman" w:hAnsi="Times New Roman" w:cs="Times New Roman"/>
                <w:b/>
                <w:sz w:val="20"/>
                <w:szCs w:val="20"/>
              </w:rPr>
            </w:pPr>
          </w:p>
        </w:tc>
        <w:tc>
          <w:tcPr>
            <w:tcW w:w="1430" w:type="dxa"/>
          </w:tcPr>
          <w:p w14:paraId="601A1ED6" w14:textId="77777777" w:rsidR="008F7A80" w:rsidRPr="008F752C" w:rsidRDefault="008F7A80" w:rsidP="002777BE">
            <w:pPr>
              <w:jc w:val="both"/>
              <w:rPr>
                <w:rFonts w:ascii="Times New Roman" w:hAnsi="Times New Roman" w:cs="Times New Roman"/>
                <w:b/>
                <w:sz w:val="20"/>
                <w:szCs w:val="20"/>
              </w:rPr>
            </w:pPr>
          </w:p>
        </w:tc>
        <w:tc>
          <w:tcPr>
            <w:tcW w:w="1950" w:type="dxa"/>
          </w:tcPr>
          <w:p w14:paraId="651DE4E9" w14:textId="77777777" w:rsidR="008F7A80" w:rsidRPr="008F752C" w:rsidRDefault="008F7A80" w:rsidP="002777BE">
            <w:pPr>
              <w:jc w:val="both"/>
              <w:rPr>
                <w:rFonts w:ascii="Times New Roman" w:hAnsi="Times New Roman" w:cs="Times New Roman"/>
                <w:b/>
                <w:sz w:val="20"/>
                <w:szCs w:val="20"/>
              </w:rPr>
            </w:pPr>
          </w:p>
        </w:tc>
      </w:tr>
      <w:tr w:rsidR="008F7A80" w:rsidRPr="008F752C" w14:paraId="75933750" w14:textId="77777777" w:rsidTr="002777BE">
        <w:tc>
          <w:tcPr>
            <w:tcW w:w="747" w:type="dxa"/>
          </w:tcPr>
          <w:p w14:paraId="281AD3A8"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ДОО</w:t>
            </w:r>
          </w:p>
        </w:tc>
        <w:tc>
          <w:tcPr>
            <w:tcW w:w="1204" w:type="dxa"/>
          </w:tcPr>
          <w:p w14:paraId="28368FD3"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1051</w:t>
            </w:r>
          </w:p>
        </w:tc>
        <w:tc>
          <w:tcPr>
            <w:tcW w:w="829" w:type="dxa"/>
          </w:tcPr>
          <w:p w14:paraId="5038698B"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543</w:t>
            </w:r>
          </w:p>
        </w:tc>
        <w:tc>
          <w:tcPr>
            <w:tcW w:w="1156" w:type="dxa"/>
          </w:tcPr>
          <w:p w14:paraId="1F35D5CF"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136 (25%)</w:t>
            </w:r>
          </w:p>
        </w:tc>
        <w:tc>
          <w:tcPr>
            <w:tcW w:w="1417" w:type="dxa"/>
          </w:tcPr>
          <w:p w14:paraId="6F5837A5"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65 (12%)</w:t>
            </w:r>
          </w:p>
        </w:tc>
        <w:tc>
          <w:tcPr>
            <w:tcW w:w="1263" w:type="dxa"/>
          </w:tcPr>
          <w:p w14:paraId="265B9FCB"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455</w:t>
            </w:r>
          </w:p>
        </w:tc>
        <w:tc>
          <w:tcPr>
            <w:tcW w:w="1430" w:type="dxa"/>
          </w:tcPr>
          <w:p w14:paraId="240DE31F" w14:textId="77777777" w:rsidR="008F7A80" w:rsidRPr="008F752C" w:rsidRDefault="008F7A80" w:rsidP="002777BE">
            <w:pPr>
              <w:jc w:val="both"/>
              <w:rPr>
                <w:rFonts w:ascii="Times New Roman" w:hAnsi="Times New Roman" w:cs="Times New Roman"/>
                <w:b/>
                <w:sz w:val="24"/>
                <w:szCs w:val="24"/>
              </w:rPr>
            </w:pPr>
          </w:p>
        </w:tc>
        <w:tc>
          <w:tcPr>
            <w:tcW w:w="1950" w:type="dxa"/>
          </w:tcPr>
          <w:p w14:paraId="43CEF4D4"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100</w:t>
            </w:r>
          </w:p>
        </w:tc>
      </w:tr>
      <w:tr w:rsidR="008F7A80" w:rsidRPr="008F752C" w14:paraId="0C168504" w14:textId="77777777" w:rsidTr="002777BE">
        <w:tc>
          <w:tcPr>
            <w:tcW w:w="747" w:type="dxa"/>
          </w:tcPr>
          <w:p w14:paraId="2BBDF126"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ОО</w:t>
            </w:r>
          </w:p>
        </w:tc>
        <w:tc>
          <w:tcPr>
            <w:tcW w:w="1204" w:type="dxa"/>
          </w:tcPr>
          <w:p w14:paraId="30D906AA"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740</w:t>
            </w:r>
          </w:p>
        </w:tc>
        <w:tc>
          <w:tcPr>
            <w:tcW w:w="829" w:type="dxa"/>
          </w:tcPr>
          <w:p w14:paraId="10E162A8"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578</w:t>
            </w:r>
          </w:p>
        </w:tc>
        <w:tc>
          <w:tcPr>
            <w:tcW w:w="1156" w:type="dxa"/>
          </w:tcPr>
          <w:p w14:paraId="319271AB"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146</w:t>
            </w:r>
          </w:p>
          <w:p w14:paraId="5A1F6E28"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(25%)</w:t>
            </w:r>
          </w:p>
        </w:tc>
        <w:tc>
          <w:tcPr>
            <w:tcW w:w="1417" w:type="dxa"/>
          </w:tcPr>
          <w:p w14:paraId="02D1E7DA"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214 (37%)</w:t>
            </w:r>
          </w:p>
        </w:tc>
        <w:tc>
          <w:tcPr>
            <w:tcW w:w="1263" w:type="dxa"/>
          </w:tcPr>
          <w:p w14:paraId="49B83836" w14:textId="77777777" w:rsidR="008F7A80" w:rsidRPr="008F752C" w:rsidRDefault="008F7A80" w:rsidP="002777BE">
            <w:pPr>
              <w:jc w:val="both"/>
              <w:rPr>
                <w:rFonts w:ascii="Times New Roman" w:hAnsi="Times New Roman" w:cs="Times New Roman"/>
                <w:b/>
                <w:sz w:val="24"/>
                <w:szCs w:val="24"/>
              </w:rPr>
            </w:pPr>
          </w:p>
        </w:tc>
        <w:tc>
          <w:tcPr>
            <w:tcW w:w="1430" w:type="dxa"/>
          </w:tcPr>
          <w:p w14:paraId="3B515B4B"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502</w:t>
            </w:r>
          </w:p>
        </w:tc>
        <w:tc>
          <w:tcPr>
            <w:tcW w:w="1950" w:type="dxa"/>
          </w:tcPr>
          <w:p w14:paraId="3B281766" w14:textId="77777777" w:rsidR="008F7A80" w:rsidRPr="008F752C" w:rsidRDefault="008F7A80" w:rsidP="002777BE">
            <w:pPr>
              <w:jc w:val="both"/>
              <w:rPr>
                <w:rFonts w:ascii="Times New Roman" w:hAnsi="Times New Roman" w:cs="Times New Roman"/>
                <w:b/>
                <w:sz w:val="24"/>
                <w:szCs w:val="24"/>
              </w:rPr>
            </w:pPr>
            <w:r w:rsidRPr="008F752C">
              <w:rPr>
                <w:rFonts w:ascii="Times New Roman" w:hAnsi="Times New Roman" w:cs="Times New Roman"/>
                <w:sz w:val="24"/>
                <w:szCs w:val="24"/>
              </w:rPr>
              <w:t>98</w:t>
            </w:r>
          </w:p>
        </w:tc>
      </w:tr>
    </w:tbl>
    <w:p w14:paraId="56F99F94" w14:textId="77777777" w:rsidR="008F7A80" w:rsidRPr="008F752C" w:rsidRDefault="008F7A80" w:rsidP="008F7A80">
      <w:pPr>
        <w:spacing w:after="0"/>
        <w:jc w:val="both"/>
        <w:rPr>
          <w:rFonts w:ascii="Times New Roman" w:hAnsi="Times New Roman" w:cs="Times New Roman"/>
          <w:b/>
          <w:sz w:val="28"/>
          <w:szCs w:val="28"/>
        </w:rPr>
      </w:pPr>
      <w:r w:rsidRPr="008F752C">
        <w:rPr>
          <w:rFonts w:ascii="Times New Roman" w:hAnsi="Times New Roman" w:cs="Times New Roman"/>
          <w:sz w:val="28"/>
          <w:szCs w:val="28"/>
        </w:rPr>
        <w:t xml:space="preserve"> </w:t>
      </w:r>
    </w:p>
    <w:p w14:paraId="416BC24A" w14:textId="77777777" w:rsidR="008F7A80" w:rsidRPr="008F752C" w:rsidRDefault="008F7A80" w:rsidP="008F7A80">
      <w:pPr>
        <w:spacing w:after="0"/>
        <w:jc w:val="both"/>
        <w:rPr>
          <w:rFonts w:ascii="Times New Roman" w:hAnsi="Times New Roman" w:cs="Times New Roman"/>
          <w:b/>
          <w:sz w:val="28"/>
          <w:szCs w:val="28"/>
        </w:rPr>
      </w:pPr>
      <w:r w:rsidRPr="008F752C">
        <w:rPr>
          <w:rFonts w:ascii="Times New Roman" w:hAnsi="Times New Roman" w:cs="Times New Roman"/>
          <w:sz w:val="28"/>
          <w:szCs w:val="28"/>
        </w:rPr>
        <w:t xml:space="preserve">       Кадровый потенциал характеризуется высоким образовательным уровнем: 93 % учителей  и 37% педагогов дошкольных организаций имеют высшее образование.</w:t>
      </w:r>
    </w:p>
    <w:p w14:paraId="5E095C56" w14:textId="77777777" w:rsidR="008F7A80" w:rsidRPr="008F752C" w:rsidRDefault="008F7A80" w:rsidP="008F7A80">
      <w:pPr>
        <w:spacing w:after="0"/>
        <w:jc w:val="both"/>
        <w:rPr>
          <w:rFonts w:ascii="Times New Roman" w:hAnsi="Times New Roman" w:cs="Times New Roman"/>
          <w:b/>
          <w:sz w:val="28"/>
          <w:szCs w:val="28"/>
        </w:rPr>
      </w:pPr>
      <w:r w:rsidRPr="008F752C">
        <w:rPr>
          <w:rFonts w:ascii="Times New Roman" w:hAnsi="Times New Roman" w:cs="Times New Roman"/>
          <w:sz w:val="28"/>
          <w:szCs w:val="28"/>
        </w:rPr>
        <w:t xml:space="preserve">       В 2019-2020 учебном году курсовую подготовку прошли  48 педагогов. План по курсовой подготовке исполнен на 100%. Аттестовались на первую и высшую категории 136 чел., все успешно подтвердили свою квалификацию.</w:t>
      </w:r>
    </w:p>
    <w:p w14:paraId="282825B6" w14:textId="77777777" w:rsidR="008F7A80" w:rsidRPr="008F752C" w:rsidRDefault="008F7A80" w:rsidP="008F7A80">
      <w:pPr>
        <w:pStyle w:val="a5"/>
        <w:tabs>
          <w:tab w:val="left" w:pos="567"/>
          <w:tab w:val="left" w:pos="709"/>
        </w:tabs>
        <w:spacing w:before="0" w:beforeAutospacing="0" w:after="0" w:afterAutospacing="0" w:line="276" w:lineRule="auto"/>
        <w:jc w:val="both"/>
        <w:rPr>
          <w:sz w:val="28"/>
          <w:szCs w:val="28"/>
        </w:rPr>
      </w:pPr>
      <w:r w:rsidRPr="008F752C">
        <w:rPr>
          <w:sz w:val="28"/>
          <w:szCs w:val="28"/>
        </w:rPr>
        <w:t xml:space="preserve">       Шесть учителей английского языка  приняли участие в первом этапе регионального  проекта «Оказание образовательных услуг, направленных на повышение профессионального уровня и проведение зарубежной учебной практики учителей иностранного языка общеобразовательных организаций, расположенных на территории Пензенской области».  Из 60 участников первого этапа программы   по итогам выходного тестирования были определены 12 лучших слушателей, которые  прошли стажировку в г. Сассекс (Великобритания).   Город Кузнецк представляли три учителя английского языка. </w:t>
      </w:r>
    </w:p>
    <w:p w14:paraId="273B821F" w14:textId="77777777" w:rsidR="008F7A80" w:rsidRPr="008F752C" w:rsidRDefault="008F7A80" w:rsidP="008F7A80">
      <w:pPr>
        <w:spacing w:after="0"/>
        <w:jc w:val="both"/>
        <w:rPr>
          <w:rFonts w:ascii="Times New Roman" w:hAnsi="Times New Roman" w:cs="Times New Roman"/>
          <w:b/>
          <w:color w:val="000000"/>
          <w:sz w:val="28"/>
          <w:szCs w:val="28"/>
        </w:rPr>
      </w:pPr>
      <w:r w:rsidRPr="008F752C">
        <w:rPr>
          <w:rFonts w:ascii="Times New Roman" w:hAnsi="Times New Roman" w:cs="Times New Roman"/>
          <w:sz w:val="28"/>
          <w:szCs w:val="28"/>
        </w:rPr>
        <w:t xml:space="preserve">       Количество молодых специалистов, пришедших в образовательные учреждения города  и проработавших от 1 до 5 лет, - 47 человек. </w:t>
      </w:r>
      <w:r w:rsidRPr="008F752C">
        <w:rPr>
          <w:rFonts w:ascii="Times New Roman" w:hAnsi="Times New Roman" w:cs="Times New Roman"/>
          <w:color w:val="000000"/>
          <w:sz w:val="28"/>
          <w:szCs w:val="28"/>
        </w:rPr>
        <w:t>Вместе с тем в школах города наблюдается дефицит учителей начальных классов, физики, русского языка, английского языка.</w:t>
      </w:r>
    </w:p>
    <w:p w14:paraId="30FBB249" w14:textId="77777777" w:rsidR="008F7A80" w:rsidRPr="008F752C" w:rsidRDefault="008F7A80" w:rsidP="008F7A80">
      <w:pPr>
        <w:spacing w:after="0"/>
        <w:jc w:val="both"/>
        <w:rPr>
          <w:rFonts w:ascii="Times New Roman" w:hAnsi="Times New Roman" w:cs="Times New Roman"/>
          <w:b/>
          <w:sz w:val="28"/>
          <w:szCs w:val="28"/>
        </w:rPr>
      </w:pPr>
      <w:r w:rsidRPr="008F752C">
        <w:rPr>
          <w:rFonts w:ascii="Times New Roman" w:hAnsi="Times New Roman" w:cs="Times New Roman"/>
          <w:sz w:val="28"/>
          <w:szCs w:val="28"/>
        </w:rPr>
        <w:t xml:space="preserve">       Проводится работа по целевому направлению выпускников школ на учебу в ВУЗ. Ежегодно управление образования изучает потребность образовательных организаций в педагогах на ближайшие 5 лет и потребность выпускников в целевых направлениях на педагогические специальности. </w:t>
      </w:r>
    </w:p>
    <w:p w14:paraId="42F357E3" w14:textId="77777777" w:rsidR="008F7A80" w:rsidRDefault="008F7A80" w:rsidP="008F7A80">
      <w:pPr>
        <w:spacing w:after="0"/>
        <w:jc w:val="both"/>
        <w:rPr>
          <w:rFonts w:ascii="Times New Roman" w:hAnsi="Times New Roman" w:cs="Times New Roman"/>
          <w:sz w:val="28"/>
          <w:szCs w:val="28"/>
        </w:rPr>
      </w:pPr>
      <w:r w:rsidRPr="008F752C">
        <w:rPr>
          <w:rFonts w:ascii="Times New Roman" w:hAnsi="Times New Roman" w:cs="Times New Roman"/>
          <w:sz w:val="28"/>
          <w:szCs w:val="28"/>
        </w:rPr>
        <w:t xml:space="preserve">     В городе работ</w:t>
      </w:r>
      <w:r w:rsidR="002777BE">
        <w:rPr>
          <w:rFonts w:ascii="Times New Roman" w:hAnsi="Times New Roman" w:cs="Times New Roman"/>
          <w:sz w:val="28"/>
          <w:szCs w:val="28"/>
        </w:rPr>
        <w:t>ает 25 методических объединений.</w:t>
      </w:r>
      <w:r w:rsidRPr="008F752C">
        <w:rPr>
          <w:rFonts w:ascii="Times New Roman" w:hAnsi="Times New Roman" w:cs="Times New Roman"/>
          <w:sz w:val="28"/>
          <w:szCs w:val="28"/>
        </w:rPr>
        <w:t xml:space="preserve"> Всего в методической работе участвуют   987 педагогических работников города Кузнецка. На методических объединениях   решается главная дидактическая задача по реализации Федеральных государственных образовательных стандартов: сдвинуть акцент с описания процессов обучения на достижение непосредственных образовательных результатов (предметных, метапредметных и личностных).</w:t>
      </w:r>
    </w:p>
    <w:p w14:paraId="0C7F703E" w14:textId="77777777" w:rsidR="005E51D7" w:rsidRDefault="008F7A80" w:rsidP="008F7A80">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 xml:space="preserve">    Высокий уровень кадров позволяет держать планку </w:t>
      </w:r>
      <w:r w:rsidRPr="008F7A80">
        <w:rPr>
          <w:rFonts w:ascii="Times New Roman" w:hAnsi="Times New Roman" w:cs="Times New Roman"/>
          <w:b/>
          <w:sz w:val="28"/>
          <w:szCs w:val="28"/>
          <w:u w:val="single"/>
        </w:rPr>
        <w:t>учебных достижений</w:t>
      </w:r>
      <w:r>
        <w:rPr>
          <w:rFonts w:ascii="Times New Roman" w:hAnsi="Times New Roman" w:cs="Times New Roman"/>
          <w:sz w:val="28"/>
          <w:szCs w:val="28"/>
        </w:rPr>
        <w:t>.</w:t>
      </w:r>
    </w:p>
    <w:p w14:paraId="1001A6A9" w14:textId="77777777" w:rsidR="005E51D7" w:rsidRPr="008F752C" w:rsidRDefault="005E51D7" w:rsidP="005E51D7">
      <w:pPr>
        <w:pStyle w:val="a4"/>
        <w:widowControl w:val="0"/>
        <w:shd w:val="clear" w:color="auto" w:fill="FFFFFF"/>
        <w:tabs>
          <w:tab w:val="left" w:pos="0"/>
        </w:tabs>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Ежегодно </w:t>
      </w:r>
      <w:r w:rsidRPr="008F752C">
        <w:rPr>
          <w:rFonts w:ascii="Times New Roman" w:hAnsi="Times New Roman" w:cs="Times New Roman"/>
          <w:sz w:val="28"/>
          <w:szCs w:val="28"/>
        </w:rPr>
        <w:t>проводятся городские олимпиады школьников по 18 общеобразовательным  предметам (722 участника), городская научно-</w:t>
      </w:r>
      <w:r w:rsidRPr="008F752C">
        <w:rPr>
          <w:rFonts w:ascii="Times New Roman" w:hAnsi="Times New Roman" w:cs="Times New Roman"/>
          <w:sz w:val="28"/>
          <w:szCs w:val="28"/>
        </w:rPr>
        <w:lastRenderedPageBreak/>
        <w:t>практическая конференции «Старт в науку» (96 работ), олимпиада по избирательному праву и избирательному процессу (30 участников), олимпиада в рамках Недели землячества (42 участника), олимпиада МФТИ (102 участника), 1772 чел. приняли участие во всероссийском конкурсе «Большая перемена».</w:t>
      </w:r>
    </w:p>
    <w:p w14:paraId="2A635459" w14:textId="77777777" w:rsidR="005E51D7" w:rsidRDefault="005E51D7" w:rsidP="005E51D7">
      <w:pPr>
        <w:pStyle w:val="a4"/>
        <w:widowControl w:val="0"/>
        <w:shd w:val="clear" w:color="auto" w:fill="FFFFFF"/>
        <w:tabs>
          <w:tab w:val="left" w:pos="0"/>
        </w:tabs>
        <w:autoSpaceDE w:val="0"/>
        <w:autoSpaceDN w:val="0"/>
        <w:adjustRightInd w:val="0"/>
        <w:spacing w:after="0"/>
        <w:ind w:left="0"/>
        <w:jc w:val="both"/>
        <w:rPr>
          <w:rFonts w:ascii="Times New Roman" w:hAnsi="Times New Roman" w:cs="Times New Roman"/>
          <w:sz w:val="28"/>
          <w:szCs w:val="28"/>
        </w:rPr>
      </w:pPr>
      <w:r w:rsidRPr="008F752C">
        <w:rPr>
          <w:rFonts w:ascii="Times New Roman" w:hAnsi="Times New Roman" w:cs="Times New Roman"/>
          <w:sz w:val="28"/>
          <w:szCs w:val="28"/>
        </w:rPr>
        <w:t xml:space="preserve">       В 2019-2020 учебном году обучающиеся и учителя общеобразовательных организаций города Кузнецка стали активными участниками более 250 областных и Всероссийских конкурсов. Победителями и лауреатами из них стали более 30 обучающихся и учителей (12 %), призерами – более 40 обучающихся и учителей (16 %). </w:t>
      </w:r>
      <w:r w:rsidRPr="003A6730">
        <w:rPr>
          <w:rFonts w:ascii="Times New Roman" w:hAnsi="Times New Roman" w:cs="Times New Roman"/>
          <w:sz w:val="28"/>
          <w:szCs w:val="28"/>
        </w:rPr>
        <w:t xml:space="preserve"> </w:t>
      </w:r>
    </w:p>
    <w:p w14:paraId="3FA7A197" w14:textId="77777777" w:rsidR="005E51D7" w:rsidRPr="003A6730" w:rsidRDefault="00D43DD7" w:rsidP="005E51D7">
      <w:pPr>
        <w:pStyle w:val="a4"/>
        <w:widowControl w:val="0"/>
        <w:shd w:val="clear" w:color="auto" w:fill="FFFFFF"/>
        <w:tabs>
          <w:tab w:val="left" w:pos="0"/>
        </w:tabs>
        <w:autoSpaceDE w:val="0"/>
        <w:autoSpaceDN w:val="0"/>
        <w:adjustRightInd w:val="0"/>
        <w:spacing w:after="0"/>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F34B7A" w:rsidRPr="00F34B7A">
        <w:rPr>
          <w:rFonts w:ascii="Times New Roman" w:hAnsi="Times New Roman" w:cs="Times New Roman"/>
          <w:sz w:val="28"/>
          <w:szCs w:val="28"/>
        </w:rPr>
        <w:t xml:space="preserve">В 2020 году государственная итоговая аттестация в 9-х классах не проводилась. </w:t>
      </w:r>
      <w:r w:rsidR="00F34B7A">
        <w:rPr>
          <w:rFonts w:ascii="Times New Roman" w:hAnsi="Times New Roman" w:cs="Times New Roman"/>
          <w:sz w:val="28"/>
          <w:szCs w:val="28"/>
        </w:rPr>
        <w:t xml:space="preserve">Единый государственный экзамен </w:t>
      </w:r>
      <w:r>
        <w:rPr>
          <w:rFonts w:ascii="Times New Roman" w:hAnsi="Times New Roman" w:cs="Times New Roman"/>
          <w:sz w:val="28"/>
          <w:szCs w:val="28"/>
        </w:rPr>
        <w:t>в 2020 году проходил в условиях действия ограничительных мер в связи с угрозой распространения новой коронавирусной инфекции и был смещён по срокам. На выдачу аттестата не влияли баллы, полученные на едином государственном экзамене.</w:t>
      </w:r>
    </w:p>
    <w:p w14:paraId="1CEEEDBB" w14:textId="77777777" w:rsidR="005E51D7" w:rsidRPr="004D3DE3" w:rsidRDefault="005E51D7" w:rsidP="00F34B7A">
      <w:pPr>
        <w:spacing w:after="0"/>
        <w:ind w:firstLine="426"/>
        <w:jc w:val="both"/>
        <w:rPr>
          <w:rFonts w:ascii="Times New Roman" w:hAnsi="Times New Roman" w:cs="Times New Roman"/>
          <w:b/>
          <w:sz w:val="28"/>
          <w:szCs w:val="28"/>
        </w:rPr>
      </w:pPr>
      <w:r w:rsidRPr="003A6730">
        <w:rPr>
          <w:rFonts w:ascii="Times New Roman" w:hAnsi="Times New Roman" w:cs="Times New Roman"/>
          <w:sz w:val="28"/>
          <w:szCs w:val="28"/>
        </w:rPr>
        <w:t xml:space="preserve">      </w:t>
      </w:r>
      <w:r w:rsidRPr="004D3DE3">
        <w:rPr>
          <w:rFonts w:ascii="Times New Roman" w:hAnsi="Times New Roman" w:cs="Times New Roman"/>
          <w:sz w:val="28"/>
          <w:szCs w:val="28"/>
        </w:rPr>
        <w:t xml:space="preserve">Результаты, показанные выпускниками школы на итоговой аттестации в форме ЕГЭ позволяют дать оценку деятельности системы образования, особенностям организации образовательного процесса, качеству представляемой образовательной услуги. Удельный вес лиц, сдавших ЕГЭ в 2020 году, составил 100 %. По 11 из 13 сдаваемых предметов показатели среднего балла по городу Кузнецку превышают средний балл по Пензенской области, по 10 предметам – выше среднего балла по Российской Федерации. </w:t>
      </w:r>
      <w:r w:rsidR="00D43DD7">
        <w:rPr>
          <w:rFonts w:ascii="Times New Roman" w:hAnsi="Times New Roman" w:cs="Times New Roman"/>
          <w:sz w:val="28"/>
          <w:szCs w:val="28"/>
        </w:rPr>
        <w:t>Трофимова Снежана в 2020 году получила 100 баллов на экзамене по химии.</w:t>
      </w:r>
    </w:p>
    <w:p w14:paraId="1522EA8A" w14:textId="77777777" w:rsidR="00D43DD7" w:rsidRDefault="005E51D7" w:rsidP="00450A5F">
      <w:pPr>
        <w:spacing w:after="0"/>
        <w:jc w:val="both"/>
        <w:rPr>
          <w:rFonts w:ascii="Times New Roman" w:hAnsi="Times New Roman" w:cs="Times New Roman"/>
          <w:sz w:val="28"/>
          <w:szCs w:val="28"/>
        </w:rPr>
      </w:pPr>
      <w:r w:rsidRPr="004D3DE3">
        <w:rPr>
          <w:rFonts w:ascii="Times New Roman" w:hAnsi="Times New Roman" w:cs="Times New Roman"/>
          <w:sz w:val="28"/>
          <w:szCs w:val="28"/>
        </w:rPr>
        <w:t xml:space="preserve">     В целях качественной подготовки к ЕГЭ и как альтернатива репетиторству в городе </w:t>
      </w:r>
      <w:r w:rsidR="00D43DD7">
        <w:rPr>
          <w:rFonts w:ascii="Times New Roman" w:hAnsi="Times New Roman" w:cs="Times New Roman"/>
          <w:sz w:val="28"/>
          <w:szCs w:val="28"/>
        </w:rPr>
        <w:t xml:space="preserve">была </w:t>
      </w:r>
      <w:r w:rsidRPr="004D3DE3">
        <w:rPr>
          <w:rFonts w:ascii="Times New Roman" w:hAnsi="Times New Roman" w:cs="Times New Roman"/>
          <w:sz w:val="28"/>
          <w:szCs w:val="28"/>
        </w:rPr>
        <w:t>организована работа 11  межшкольных  факультативов, которые посещали  203 обучающихся 10-11 классов</w:t>
      </w:r>
      <w:r w:rsidR="00D43DD7">
        <w:rPr>
          <w:rFonts w:ascii="Times New Roman" w:hAnsi="Times New Roman" w:cs="Times New Roman"/>
          <w:sz w:val="28"/>
          <w:szCs w:val="28"/>
        </w:rPr>
        <w:t xml:space="preserve">. </w:t>
      </w:r>
    </w:p>
    <w:p w14:paraId="778C6E2C" w14:textId="77777777" w:rsidR="00F34B7A" w:rsidRDefault="002777BE" w:rsidP="00450A5F">
      <w:pPr>
        <w:spacing w:after="0"/>
        <w:jc w:val="both"/>
        <w:rPr>
          <w:rFonts w:ascii="Times New Roman" w:hAnsi="Times New Roman" w:cs="Times New Roman"/>
          <w:sz w:val="28"/>
          <w:szCs w:val="28"/>
        </w:rPr>
      </w:pPr>
      <w:r>
        <w:rPr>
          <w:rFonts w:ascii="Times New Roman" w:hAnsi="Times New Roman" w:cs="Times New Roman"/>
          <w:sz w:val="28"/>
          <w:szCs w:val="28"/>
        </w:rPr>
        <w:t xml:space="preserve">     68</w:t>
      </w:r>
      <w:r w:rsidR="00D43DD7">
        <w:rPr>
          <w:rFonts w:ascii="Times New Roman" w:hAnsi="Times New Roman" w:cs="Times New Roman"/>
          <w:sz w:val="28"/>
          <w:szCs w:val="28"/>
        </w:rPr>
        <w:t xml:space="preserve"> выпускников 2020 года окончили школу с медалью «За особые успехи в учении».</w:t>
      </w:r>
    </w:p>
    <w:p w14:paraId="616B771B" w14:textId="77777777" w:rsidR="00D43DD7" w:rsidRDefault="00F34B7A" w:rsidP="00450A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3DD7">
        <w:rPr>
          <w:rFonts w:ascii="Times New Roman" w:hAnsi="Times New Roman" w:cs="Times New Roman"/>
          <w:sz w:val="28"/>
          <w:szCs w:val="28"/>
        </w:rPr>
        <w:t>В 2020 году в связи с введением ограничительных мер, связанных с угрозой распространения новой коронавирусной инфекции общеобразовательные организации города Кузнецка приобрели новый опыт по организации дистанционного обучения.</w:t>
      </w:r>
    </w:p>
    <w:p w14:paraId="72C54104" w14:textId="77777777" w:rsidR="00D43DD7" w:rsidRDefault="00D43DD7" w:rsidP="00D43D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415C8">
        <w:rPr>
          <w:rFonts w:ascii="Times New Roman" w:hAnsi="Times New Roman" w:cs="Times New Roman"/>
          <w:sz w:val="28"/>
          <w:szCs w:val="28"/>
        </w:rPr>
        <w:t xml:space="preserve">С 6.04.2020 </w:t>
      </w:r>
      <w:r>
        <w:rPr>
          <w:rFonts w:ascii="Times New Roman" w:hAnsi="Times New Roman" w:cs="Times New Roman"/>
          <w:sz w:val="28"/>
          <w:szCs w:val="28"/>
        </w:rPr>
        <w:t xml:space="preserve">в общеобразовательных организациях </w:t>
      </w:r>
      <w:r w:rsidRPr="008415C8">
        <w:rPr>
          <w:rFonts w:ascii="Times New Roman" w:hAnsi="Times New Roman" w:cs="Times New Roman"/>
          <w:sz w:val="28"/>
          <w:szCs w:val="28"/>
        </w:rPr>
        <w:t xml:space="preserve">организовано дистанционное обучение. </w:t>
      </w:r>
      <w:r>
        <w:rPr>
          <w:rFonts w:ascii="Times New Roman" w:hAnsi="Times New Roman" w:cs="Times New Roman"/>
          <w:sz w:val="28"/>
          <w:szCs w:val="28"/>
        </w:rPr>
        <w:t>Для семей, не имеющих компьютерной техники, выделено 25 компьютеров (57 детей).</w:t>
      </w:r>
      <w:r w:rsidRPr="00E44D27">
        <w:t xml:space="preserve"> </w:t>
      </w:r>
    </w:p>
    <w:p w14:paraId="145C1A1C" w14:textId="77777777" w:rsidR="00D43DD7" w:rsidRDefault="00D43DD7" w:rsidP="002777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44D27">
        <w:rPr>
          <w:rFonts w:ascii="Times New Roman" w:hAnsi="Times New Roman" w:cs="Times New Roman"/>
          <w:sz w:val="28"/>
          <w:szCs w:val="28"/>
        </w:rPr>
        <w:t xml:space="preserve">В образовательном процессе используются электронные платформы: «Российская электронная школа», «Учи </w:t>
      </w:r>
      <w:proofErr w:type="spellStart"/>
      <w:r w:rsidRPr="00E44D27">
        <w:rPr>
          <w:rFonts w:ascii="Times New Roman" w:hAnsi="Times New Roman" w:cs="Times New Roman"/>
          <w:sz w:val="28"/>
          <w:szCs w:val="28"/>
        </w:rPr>
        <w:t>ру</w:t>
      </w:r>
      <w:proofErr w:type="spellEnd"/>
      <w:r w:rsidRPr="00E44D27">
        <w:rPr>
          <w:rFonts w:ascii="Times New Roman" w:hAnsi="Times New Roman" w:cs="Times New Roman"/>
          <w:sz w:val="28"/>
          <w:szCs w:val="28"/>
        </w:rPr>
        <w:t xml:space="preserve">», и др. При выборе образовательных платформ учитывался предыдущий успешный опыт работы </w:t>
      </w:r>
      <w:r w:rsidRPr="00E44D27">
        <w:rPr>
          <w:rFonts w:ascii="Times New Roman" w:hAnsi="Times New Roman" w:cs="Times New Roman"/>
          <w:sz w:val="28"/>
          <w:szCs w:val="28"/>
        </w:rPr>
        <w:lastRenderedPageBreak/>
        <w:t>и доступность платформ для большинства пользователей. В период дистанционного обучения изменилась специфика работы классных р</w:t>
      </w:r>
      <w:r>
        <w:rPr>
          <w:rFonts w:ascii="Times New Roman" w:hAnsi="Times New Roman" w:cs="Times New Roman"/>
          <w:sz w:val="28"/>
          <w:szCs w:val="28"/>
        </w:rPr>
        <w:t>уководителей. В их задачи входило</w:t>
      </w:r>
      <w:r w:rsidRPr="00E44D27">
        <w:rPr>
          <w:rFonts w:ascii="Times New Roman" w:hAnsi="Times New Roman" w:cs="Times New Roman"/>
          <w:sz w:val="28"/>
          <w:szCs w:val="28"/>
        </w:rPr>
        <w:t xml:space="preserve"> ежедневное информирование детей и родителей об особенностях организации дистанционного обучения, обеспечение связи родитель-учитель, учитель-ученик, учитель-учитель координация учебного процесса в течение дня, выявление проблем дистанционного обучения, взаимодействие с администрацией. Наиболее успешный опыт дистанционного обучения тран</w:t>
      </w:r>
      <w:r>
        <w:rPr>
          <w:rFonts w:ascii="Times New Roman" w:hAnsi="Times New Roman" w:cs="Times New Roman"/>
          <w:sz w:val="28"/>
          <w:szCs w:val="28"/>
        </w:rPr>
        <w:t>слировался</w:t>
      </w:r>
      <w:r w:rsidRPr="00E44D27">
        <w:rPr>
          <w:rFonts w:ascii="Times New Roman" w:hAnsi="Times New Roman" w:cs="Times New Roman"/>
          <w:sz w:val="28"/>
          <w:szCs w:val="28"/>
        </w:rPr>
        <w:t xml:space="preserve"> на сайтах школ.</w:t>
      </w:r>
      <w:r w:rsidRPr="00F36481">
        <w:rPr>
          <w:rFonts w:ascii="Times New Roman" w:hAnsi="Times New Roman" w:cs="Times New Roman"/>
          <w:sz w:val="28"/>
          <w:szCs w:val="28"/>
        </w:rPr>
        <w:t xml:space="preserve"> </w:t>
      </w:r>
    </w:p>
    <w:p w14:paraId="2C626E21" w14:textId="77777777" w:rsidR="00951CF3" w:rsidRPr="00CF74E7" w:rsidRDefault="00450A5F" w:rsidP="00951CF3">
      <w:pPr>
        <w:spacing w:after="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951CF3" w:rsidRPr="00CF74E7">
        <w:rPr>
          <w:rFonts w:ascii="Times New Roman" w:hAnsi="Times New Roman" w:cs="Times New Roman"/>
          <w:color w:val="000000"/>
          <w:sz w:val="28"/>
          <w:szCs w:val="28"/>
        </w:rPr>
        <w:t>Президентом нашей страны определены приоритетные национальные проекты на период до 2024 года. Один из них – приоритетный проект «Образование». В рамках проекта</w:t>
      </w:r>
      <w:r w:rsidR="00951CF3" w:rsidRPr="00CF74E7">
        <w:rPr>
          <w:rFonts w:ascii="Times New Roman" w:hAnsi="Times New Roman" w:cs="Times New Roman"/>
          <w:sz w:val="28"/>
          <w:szCs w:val="28"/>
        </w:rPr>
        <w:t xml:space="preserve"> «Поддержка семей, имеющих детей». В течение 2019 года 185 родителей (законных представителей) детей получили услуги психолого-педагогической  и консультативной помощи в МБОУ ДО ДПЦ «Росток» города Кузнецка. В 2019 году 4 детских сада города Кузнецка стали федеральными площадками реализации приоритетного национального проекта «Образование» по направлению «Поддержка семей, имеющих детей». На базе детских садов № 6,24,36,38 открыты консультационные центры для детей и родителей.</w:t>
      </w:r>
    </w:p>
    <w:p w14:paraId="5727A62D" w14:textId="77777777" w:rsidR="00951CF3" w:rsidRPr="00CF74E7" w:rsidRDefault="00951CF3" w:rsidP="00951CF3">
      <w:pPr>
        <w:tabs>
          <w:tab w:val="left" w:pos="709"/>
        </w:tabs>
        <w:spacing w:after="0"/>
        <w:jc w:val="both"/>
        <w:rPr>
          <w:rFonts w:ascii="Times New Roman" w:hAnsi="Times New Roman" w:cs="Times New Roman"/>
          <w:b/>
          <w:sz w:val="28"/>
          <w:szCs w:val="28"/>
        </w:rPr>
      </w:pPr>
      <w:r w:rsidRPr="00CF74E7">
        <w:rPr>
          <w:rFonts w:ascii="Times New Roman" w:hAnsi="Times New Roman" w:cs="Times New Roman"/>
          <w:sz w:val="28"/>
          <w:szCs w:val="28"/>
        </w:rPr>
        <w:t xml:space="preserve">     В рамках проекта «Успех каждого ребенка». В марте 2019 года в общеобразовательных организациях проведена информационная кампания по популяризации проекта «Билет в будущее». Город Кузнецк прошел отбор для участия в проекте в 2019 году. 2500 обучающихся 6-11 классов зарегистрированы и прошли профориентационное тестирование на платформе «Билет в будущее». 26-27 сентября в городе Кузнецке в рамках реализации указанного проекта проведена выставка «Образование для будущего: но</w:t>
      </w:r>
      <w:r w:rsidR="002777BE">
        <w:rPr>
          <w:rFonts w:ascii="Times New Roman" w:hAnsi="Times New Roman" w:cs="Times New Roman"/>
          <w:sz w:val="28"/>
          <w:szCs w:val="28"/>
        </w:rPr>
        <w:t>вые возможности и перспективы», в ходе которой</w:t>
      </w:r>
      <w:r w:rsidRPr="00CF74E7">
        <w:rPr>
          <w:rFonts w:ascii="Times New Roman" w:hAnsi="Times New Roman" w:cs="Times New Roman"/>
          <w:sz w:val="28"/>
          <w:szCs w:val="28"/>
        </w:rPr>
        <w:t xml:space="preserve"> школьников познакомили с наиболее востребованными на территории Пензенской области профессиями и специальностями, а также образовательными организациями среднего и высшего профессионального образования Пензенской области. Посетителями выставки стали более 1600 учащихся школ города Кузнецка.</w:t>
      </w:r>
    </w:p>
    <w:p w14:paraId="271F0369" w14:textId="77777777" w:rsidR="00951CF3" w:rsidRPr="00CF74E7" w:rsidRDefault="00951CF3" w:rsidP="00951CF3">
      <w:pPr>
        <w:tabs>
          <w:tab w:val="left" w:pos="709"/>
        </w:tabs>
        <w:spacing w:after="0"/>
        <w:jc w:val="both"/>
        <w:rPr>
          <w:rFonts w:ascii="Times New Roman" w:hAnsi="Times New Roman" w:cs="Times New Roman"/>
          <w:b/>
          <w:sz w:val="28"/>
          <w:szCs w:val="28"/>
        </w:rPr>
      </w:pPr>
      <w:r w:rsidRPr="00CF74E7">
        <w:rPr>
          <w:rFonts w:ascii="Times New Roman" w:hAnsi="Times New Roman" w:cs="Times New Roman"/>
          <w:sz w:val="28"/>
          <w:szCs w:val="28"/>
        </w:rPr>
        <w:t xml:space="preserve">      В рамках регионального проекта «Успех каждого ребёнка» </w:t>
      </w:r>
      <w:r w:rsidR="002777BE">
        <w:rPr>
          <w:rFonts w:ascii="Times New Roman" w:hAnsi="Times New Roman" w:cs="Times New Roman"/>
          <w:sz w:val="28"/>
          <w:szCs w:val="28"/>
        </w:rPr>
        <w:t xml:space="preserve">в </w:t>
      </w:r>
      <w:r w:rsidRPr="00CF74E7">
        <w:rPr>
          <w:rFonts w:ascii="Times New Roman" w:hAnsi="Times New Roman" w:cs="Times New Roman"/>
          <w:sz w:val="28"/>
          <w:szCs w:val="28"/>
        </w:rPr>
        <w:t>МБ</w:t>
      </w:r>
      <w:r w:rsidR="00F34B7A">
        <w:rPr>
          <w:rFonts w:ascii="Times New Roman" w:hAnsi="Times New Roman" w:cs="Times New Roman"/>
          <w:sz w:val="28"/>
          <w:szCs w:val="28"/>
        </w:rPr>
        <w:t xml:space="preserve">ОУ ДО СЮН </w:t>
      </w:r>
      <w:r w:rsidR="002777BE">
        <w:rPr>
          <w:rFonts w:ascii="Times New Roman" w:hAnsi="Times New Roman" w:cs="Times New Roman"/>
          <w:sz w:val="28"/>
          <w:szCs w:val="28"/>
        </w:rPr>
        <w:t xml:space="preserve">получено оборудование на сумму </w:t>
      </w:r>
      <w:r w:rsidR="00F34B7A">
        <w:rPr>
          <w:rFonts w:ascii="Times New Roman" w:hAnsi="Times New Roman" w:cs="Times New Roman"/>
          <w:sz w:val="28"/>
          <w:szCs w:val="28"/>
        </w:rPr>
        <w:t>477</w:t>
      </w:r>
      <w:r w:rsidRPr="00CF74E7">
        <w:rPr>
          <w:rFonts w:ascii="Times New Roman" w:hAnsi="Times New Roman" w:cs="Times New Roman"/>
          <w:sz w:val="28"/>
          <w:szCs w:val="28"/>
        </w:rPr>
        <w:t>,</w:t>
      </w:r>
      <w:r w:rsidR="002777BE">
        <w:rPr>
          <w:rFonts w:ascii="Times New Roman" w:hAnsi="Times New Roman" w:cs="Times New Roman"/>
          <w:sz w:val="28"/>
          <w:szCs w:val="28"/>
        </w:rPr>
        <w:t>0 тыс. руб. для создания</w:t>
      </w:r>
      <w:r w:rsidRPr="00CF74E7">
        <w:rPr>
          <w:rFonts w:ascii="Times New Roman" w:hAnsi="Times New Roman" w:cs="Times New Roman"/>
          <w:sz w:val="28"/>
          <w:szCs w:val="28"/>
        </w:rPr>
        <w:t xml:space="preserve"> 90 </w:t>
      </w:r>
      <w:proofErr w:type="spellStart"/>
      <w:r w:rsidRPr="00CF74E7">
        <w:rPr>
          <w:rFonts w:ascii="Times New Roman" w:hAnsi="Times New Roman" w:cs="Times New Roman"/>
          <w:sz w:val="28"/>
          <w:szCs w:val="28"/>
        </w:rPr>
        <w:t>ученико</w:t>
      </w:r>
      <w:proofErr w:type="spellEnd"/>
      <w:r w:rsidRPr="00CF74E7">
        <w:rPr>
          <w:rFonts w:ascii="Times New Roman" w:hAnsi="Times New Roman" w:cs="Times New Roman"/>
          <w:sz w:val="28"/>
          <w:szCs w:val="28"/>
        </w:rPr>
        <w:t xml:space="preserve">-мест для реализации дополнительных общеразвивающих программ естественно-научной направленности. </w:t>
      </w:r>
    </w:p>
    <w:p w14:paraId="6BD29EAB" w14:textId="77777777" w:rsidR="002E22DA" w:rsidRDefault="00951CF3" w:rsidP="002777BE">
      <w:pPr>
        <w:spacing w:after="0"/>
        <w:jc w:val="both"/>
        <w:rPr>
          <w:rFonts w:ascii="Times New Roman" w:hAnsi="Times New Roman" w:cs="Times New Roman"/>
          <w:sz w:val="28"/>
          <w:szCs w:val="28"/>
        </w:rPr>
      </w:pPr>
      <w:r w:rsidRPr="00CF74E7">
        <w:rPr>
          <w:rFonts w:ascii="Times New Roman" w:hAnsi="Times New Roman" w:cs="Times New Roman"/>
          <w:sz w:val="28"/>
          <w:szCs w:val="28"/>
          <w:u w:val="single"/>
        </w:rPr>
        <w:t xml:space="preserve">Проект «Цифровая образовательная среда». </w:t>
      </w:r>
      <w:r w:rsidR="002777BE" w:rsidRPr="002777BE">
        <w:rPr>
          <w:rFonts w:ascii="Times New Roman" w:hAnsi="Times New Roman" w:cs="Times New Roman"/>
          <w:sz w:val="28"/>
          <w:szCs w:val="28"/>
        </w:rPr>
        <w:t>В рамках регионального проекта «Цифровая образовательная среда» в 2020 году планируется приобретение компьютерной техники для МБОУ СОШ № 4,8,14,15,Кузнецк-8, лицея №21 за счет средств бюджета Пензенской области.</w:t>
      </w:r>
      <w:r w:rsidRPr="00CF74E7">
        <w:rPr>
          <w:rFonts w:ascii="Times New Roman" w:hAnsi="Times New Roman" w:cs="Times New Roman"/>
          <w:color w:val="000000"/>
          <w:sz w:val="28"/>
          <w:szCs w:val="28"/>
          <w:lang w:bidi="ru-RU"/>
        </w:rPr>
        <w:t xml:space="preserve"> МБОУ лицей №21 города </w:t>
      </w:r>
      <w:r w:rsidRPr="00CF74E7">
        <w:rPr>
          <w:rFonts w:ascii="Times New Roman" w:hAnsi="Times New Roman" w:cs="Times New Roman"/>
          <w:color w:val="000000"/>
          <w:sz w:val="28"/>
          <w:szCs w:val="28"/>
          <w:lang w:bidi="ru-RU"/>
        </w:rPr>
        <w:lastRenderedPageBreak/>
        <w:t>Кузнецка прошёл конкурсный отбор на предоставление в 2020 году грантов в форме субсидий из федерального бюджета юридическим лицам в рамках реализации мероприятия «Создание и поддержка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в рамках федерального проекта «Кадры для цифровой экономики» национальной программы «Цифровая экономика» государственной программы Российской Федерации «Развитие образования». В лицее планируется создание межшкольной интеллектуальной лаборатории «Юные конструкторы – будущие инженеры». Общая сумма финансирования проекта – 2800,0 тыс. руб. (2744,0 тыс. руб. – федеральные средства в рамках национального проекта «Образование», 56,0 тыс. руб. собственные средства учреждения). Выделенные деньги планируется потратить на оплату труда педагогов, ремонт кабинетов-лабораторий, приобретение оборудования и повышение квалификации педагогов.</w:t>
      </w:r>
      <w:r w:rsidR="002E22DA" w:rsidRPr="002E22DA">
        <w:rPr>
          <w:rFonts w:ascii="Times New Roman" w:hAnsi="Times New Roman" w:cs="Times New Roman"/>
          <w:sz w:val="28"/>
          <w:szCs w:val="28"/>
        </w:rPr>
        <w:t xml:space="preserve"> </w:t>
      </w:r>
    </w:p>
    <w:p w14:paraId="0A1E09EC" w14:textId="77777777" w:rsidR="00876DD1" w:rsidRPr="00876DD1" w:rsidRDefault="00876DD1" w:rsidP="00876DD1">
      <w:pPr>
        <w:pStyle w:val="20"/>
        <w:shd w:val="clear" w:color="auto" w:fill="auto"/>
        <w:spacing w:line="276" w:lineRule="auto"/>
        <w:jc w:val="both"/>
        <w:rPr>
          <w:rFonts w:ascii="Times New Roman" w:hAnsi="Times New Roman" w:cs="Times New Roman"/>
          <w:b/>
          <w:color w:val="000000"/>
          <w:sz w:val="28"/>
          <w:szCs w:val="28"/>
          <w:lang w:bidi="ru-RU"/>
        </w:rPr>
      </w:pPr>
      <w:r>
        <w:rPr>
          <w:rFonts w:ascii="Times New Roman" w:hAnsi="Times New Roman" w:cs="Times New Roman"/>
          <w:sz w:val="28"/>
          <w:szCs w:val="28"/>
        </w:rPr>
        <w:t xml:space="preserve">    Проект МБОУ СОШ №5 города Кузнецка выиграл конкурсный отбор</w:t>
      </w:r>
      <w:r w:rsidRPr="00CF74E7">
        <w:rPr>
          <w:rFonts w:ascii="Times New Roman" w:hAnsi="Times New Roman" w:cs="Times New Roman"/>
          <w:sz w:val="28"/>
          <w:szCs w:val="28"/>
        </w:rPr>
        <w:t xml:space="preserve"> на предоставление гранта в форме субсидий из федерального бюджета в рамках реализации мероприятия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w:t>
      </w:r>
    </w:p>
    <w:p w14:paraId="3D6F69B1" w14:textId="77777777" w:rsidR="008E55DD" w:rsidRDefault="008E55DD" w:rsidP="002777BE">
      <w:pPr>
        <w:spacing w:after="0"/>
        <w:jc w:val="both"/>
        <w:rPr>
          <w:rFonts w:ascii="Times New Roman" w:hAnsi="Times New Roman" w:cs="Times New Roman"/>
          <w:sz w:val="28"/>
          <w:szCs w:val="28"/>
        </w:rPr>
      </w:pPr>
      <w:r>
        <w:rPr>
          <w:rFonts w:ascii="Times New Roman" w:hAnsi="Times New Roman" w:cs="Times New Roman"/>
          <w:sz w:val="28"/>
          <w:szCs w:val="28"/>
        </w:rPr>
        <w:t xml:space="preserve">     Реализуемые проекты призваны увеличить охват программами дополнительного образования детей в возрасте от 5 до 18 лет.</w:t>
      </w:r>
    </w:p>
    <w:p w14:paraId="763685A9" w14:textId="77777777" w:rsidR="009625C8" w:rsidRPr="009625C8" w:rsidRDefault="002E22DA" w:rsidP="009625C8">
      <w:pPr>
        <w:spacing w:after="0"/>
        <w:jc w:val="both"/>
        <w:rPr>
          <w:rFonts w:ascii="Times New Roman" w:hAnsi="Times New Roman" w:cs="Times New Roman"/>
          <w:color w:val="000000"/>
          <w:sz w:val="28"/>
          <w:szCs w:val="28"/>
          <w:lang w:bidi="ru-RU"/>
        </w:rPr>
      </w:pPr>
      <w:r>
        <w:rPr>
          <w:rFonts w:ascii="Times New Roman" w:hAnsi="Times New Roman" w:cs="Times New Roman"/>
          <w:sz w:val="28"/>
          <w:szCs w:val="28"/>
        </w:rPr>
        <w:t xml:space="preserve">     </w:t>
      </w:r>
      <w:r w:rsidRPr="000659AE">
        <w:rPr>
          <w:rFonts w:ascii="Times New Roman" w:hAnsi="Times New Roman" w:cs="Times New Roman"/>
          <w:sz w:val="28"/>
          <w:szCs w:val="28"/>
        </w:rPr>
        <w:t>В городе работает 5 учреждений дополнительного образования детей (центр детского творчес</w:t>
      </w:r>
      <w:r>
        <w:rPr>
          <w:rFonts w:ascii="Times New Roman" w:hAnsi="Times New Roman" w:cs="Times New Roman"/>
          <w:sz w:val="28"/>
          <w:szCs w:val="28"/>
        </w:rPr>
        <w:t>тва,  станция юных натуралистов</w:t>
      </w:r>
      <w:r w:rsidRPr="000659AE">
        <w:rPr>
          <w:rFonts w:ascii="Times New Roman" w:hAnsi="Times New Roman" w:cs="Times New Roman"/>
          <w:sz w:val="28"/>
          <w:szCs w:val="28"/>
        </w:rPr>
        <w:t>, ДЮСШ № 1, ДЮСШ № 2, ДПЦ «Росток») в которых занимается 5866 человек. (64 % от школьников)</w:t>
      </w:r>
      <w:r>
        <w:rPr>
          <w:rFonts w:ascii="Times New Roman" w:hAnsi="Times New Roman" w:cs="Times New Roman"/>
          <w:sz w:val="28"/>
          <w:szCs w:val="28"/>
        </w:rPr>
        <w:t>.</w:t>
      </w:r>
      <w:r w:rsidRPr="000659AE">
        <w:rPr>
          <w:rFonts w:ascii="Times New Roman" w:hAnsi="Times New Roman" w:cs="Times New Roman"/>
          <w:sz w:val="28"/>
          <w:szCs w:val="28"/>
        </w:rPr>
        <w:t xml:space="preserve"> </w:t>
      </w:r>
      <w:r w:rsidR="00951CF3" w:rsidRPr="00CF74E7">
        <w:rPr>
          <w:rFonts w:ascii="Times New Roman" w:hAnsi="Times New Roman" w:cs="Times New Roman"/>
          <w:color w:val="000000"/>
          <w:sz w:val="28"/>
          <w:szCs w:val="28"/>
          <w:lang w:bidi="ru-RU"/>
        </w:rPr>
        <w:t xml:space="preserve">   </w:t>
      </w:r>
      <w:r w:rsidR="009625C8">
        <w:rPr>
          <w:rFonts w:ascii="Times New Roman" w:hAnsi="Times New Roman" w:cs="Times New Roman"/>
          <w:color w:val="000000"/>
          <w:sz w:val="28"/>
          <w:szCs w:val="28"/>
          <w:lang w:bidi="ru-RU"/>
        </w:rPr>
        <w:t xml:space="preserve">Всего в системе дополнительного образования города Кузнецка 8091 чел. (73%). </w:t>
      </w:r>
      <w:r w:rsidR="009625C8" w:rsidRPr="009625C8">
        <w:rPr>
          <w:rFonts w:ascii="Times New Roman" w:hAnsi="Times New Roman" w:cs="Times New Roman"/>
          <w:color w:val="000000"/>
          <w:sz w:val="28"/>
          <w:szCs w:val="28"/>
          <w:lang w:bidi="ru-RU"/>
        </w:rPr>
        <w:t>Обеспечивается четкое сетевое взаимод</w:t>
      </w:r>
      <w:r w:rsidR="00D764EB">
        <w:rPr>
          <w:rFonts w:ascii="Times New Roman" w:hAnsi="Times New Roman" w:cs="Times New Roman"/>
          <w:color w:val="000000"/>
          <w:sz w:val="28"/>
          <w:szCs w:val="28"/>
          <w:lang w:bidi="ru-RU"/>
        </w:rPr>
        <w:t>ействие: школа + УДО, УДО + УДО</w:t>
      </w:r>
      <w:r w:rsidR="009625C8" w:rsidRPr="009625C8">
        <w:rPr>
          <w:rFonts w:ascii="Times New Roman" w:hAnsi="Times New Roman" w:cs="Times New Roman"/>
          <w:color w:val="000000"/>
          <w:sz w:val="28"/>
          <w:szCs w:val="28"/>
          <w:lang w:bidi="ru-RU"/>
        </w:rPr>
        <w:t xml:space="preserve">, ППЦ + УДО + школа, что позволяет подростку заниматься в микрорайоне по месту жительства. </w:t>
      </w:r>
    </w:p>
    <w:p w14:paraId="24B2A6D9" w14:textId="77777777" w:rsidR="009625C8" w:rsidRPr="009625C8" w:rsidRDefault="009625C8" w:rsidP="009625C8">
      <w:pPr>
        <w:spacing w:after="0"/>
        <w:jc w:val="both"/>
        <w:rPr>
          <w:rFonts w:ascii="Times New Roman" w:hAnsi="Times New Roman" w:cs="Times New Roman"/>
          <w:color w:val="000000"/>
          <w:sz w:val="28"/>
          <w:szCs w:val="28"/>
          <w:lang w:bidi="ru-RU"/>
        </w:rPr>
      </w:pPr>
      <w:r w:rsidRPr="009625C8">
        <w:rPr>
          <w:rFonts w:ascii="Times New Roman" w:hAnsi="Times New Roman" w:cs="Times New Roman"/>
          <w:color w:val="000000"/>
          <w:sz w:val="28"/>
          <w:szCs w:val="28"/>
          <w:lang w:bidi="ru-RU"/>
        </w:rPr>
        <w:t xml:space="preserve">       Организация досуговой деятельности обеспечивается по следующим направлениям:</w:t>
      </w:r>
    </w:p>
    <w:p w14:paraId="74B78F72" w14:textId="77777777" w:rsidR="009625C8" w:rsidRPr="009625C8" w:rsidRDefault="009625C8" w:rsidP="009625C8">
      <w:pPr>
        <w:spacing w:after="0"/>
        <w:jc w:val="both"/>
        <w:rPr>
          <w:rFonts w:ascii="Times New Roman" w:hAnsi="Times New Roman" w:cs="Times New Roman"/>
          <w:color w:val="000000"/>
          <w:sz w:val="28"/>
          <w:szCs w:val="28"/>
          <w:lang w:bidi="ru-RU"/>
        </w:rPr>
      </w:pPr>
      <w:r w:rsidRPr="009625C8">
        <w:rPr>
          <w:rFonts w:ascii="Times New Roman" w:hAnsi="Times New Roman" w:cs="Times New Roman"/>
          <w:color w:val="000000"/>
          <w:sz w:val="28"/>
          <w:szCs w:val="28"/>
          <w:lang w:bidi="ru-RU"/>
        </w:rPr>
        <w:t>объединения художественного профиля</w:t>
      </w:r>
      <w:r w:rsidR="00876DD1">
        <w:rPr>
          <w:rFonts w:ascii="Times New Roman" w:hAnsi="Times New Roman" w:cs="Times New Roman"/>
          <w:color w:val="000000"/>
          <w:sz w:val="28"/>
          <w:szCs w:val="28"/>
          <w:lang w:bidi="ru-RU"/>
        </w:rPr>
        <w:t xml:space="preserve"> - 985</w:t>
      </w:r>
      <w:r w:rsidRPr="009625C8">
        <w:rPr>
          <w:rFonts w:ascii="Times New Roman" w:hAnsi="Times New Roman" w:cs="Times New Roman"/>
          <w:color w:val="000000"/>
          <w:sz w:val="28"/>
          <w:szCs w:val="28"/>
          <w:lang w:bidi="ru-RU"/>
        </w:rPr>
        <w:t>;</w:t>
      </w:r>
    </w:p>
    <w:p w14:paraId="41070698" w14:textId="77777777" w:rsidR="009625C8" w:rsidRPr="009625C8" w:rsidRDefault="009625C8" w:rsidP="009625C8">
      <w:pPr>
        <w:spacing w:after="0"/>
        <w:jc w:val="both"/>
        <w:rPr>
          <w:rFonts w:ascii="Times New Roman" w:hAnsi="Times New Roman" w:cs="Times New Roman"/>
          <w:color w:val="000000"/>
          <w:sz w:val="28"/>
          <w:szCs w:val="28"/>
          <w:lang w:bidi="ru-RU"/>
        </w:rPr>
      </w:pPr>
      <w:r w:rsidRPr="009625C8">
        <w:rPr>
          <w:rFonts w:ascii="Times New Roman" w:hAnsi="Times New Roman" w:cs="Times New Roman"/>
          <w:color w:val="000000"/>
          <w:sz w:val="28"/>
          <w:szCs w:val="28"/>
          <w:lang w:bidi="ru-RU"/>
        </w:rPr>
        <w:t>объединения</w:t>
      </w:r>
      <w:r w:rsidR="00D764EB">
        <w:rPr>
          <w:rFonts w:ascii="Times New Roman" w:hAnsi="Times New Roman" w:cs="Times New Roman"/>
          <w:color w:val="000000"/>
          <w:sz w:val="28"/>
          <w:szCs w:val="28"/>
          <w:lang w:bidi="ru-RU"/>
        </w:rPr>
        <w:t xml:space="preserve"> эколого-биологического профиля</w:t>
      </w:r>
      <w:r w:rsidR="00876DD1">
        <w:rPr>
          <w:rFonts w:ascii="Times New Roman" w:hAnsi="Times New Roman" w:cs="Times New Roman"/>
          <w:color w:val="000000"/>
          <w:sz w:val="28"/>
          <w:szCs w:val="28"/>
          <w:lang w:bidi="ru-RU"/>
        </w:rPr>
        <w:t>- 880</w:t>
      </w:r>
      <w:r w:rsidRPr="009625C8">
        <w:rPr>
          <w:rFonts w:ascii="Times New Roman" w:hAnsi="Times New Roman" w:cs="Times New Roman"/>
          <w:color w:val="000000"/>
          <w:sz w:val="28"/>
          <w:szCs w:val="28"/>
          <w:lang w:bidi="ru-RU"/>
        </w:rPr>
        <w:t>;</w:t>
      </w:r>
    </w:p>
    <w:p w14:paraId="4594CA90" w14:textId="77777777" w:rsidR="009625C8" w:rsidRPr="009625C8" w:rsidRDefault="009625C8" w:rsidP="009625C8">
      <w:pPr>
        <w:spacing w:after="0"/>
        <w:jc w:val="both"/>
        <w:rPr>
          <w:rFonts w:ascii="Times New Roman" w:hAnsi="Times New Roman" w:cs="Times New Roman"/>
          <w:color w:val="000000"/>
          <w:sz w:val="28"/>
          <w:szCs w:val="28"/>
          <w:lang w:bidi="ru-RU"/>
        </w:rPr>
      </w:pPr>
      <w:r w:rsidRPr="009625C8">
        <w:rPr>
          <w:rFonts w:ascii="Times New Roman" w:hAnsi="Times New Roman" w:cs="Times New Roman"/>
          <w:color w:val="000000"/>
          <w:sz w:val="28"/>
          <w:szCs w:val="28"/>
          <w:lang w:bidi="ru-RU"/>
        </w:rPr>
        <w:t>объединения технического профиля</w:t>
      </w:r>
      <w:r w:rsidR="00876DD1">
        <w:rPr>
          <w:rFonts w:ascii="Times New Roman" w:hAnsi="Times New Roman" w:cs="Times New Roman"/>
          <w:color w:val="000000"/>
          <w:sz w:val="28"/>
          <w:szCs w:val="28"/>
          <w:lang w:bidi="ru-RU"/>
        </w:rPr>
        <w:t xml:space="preserve"> - 332</w:t>
      </w:r>
      <w:r w:rsidRPr="009625C8">
        <w:rPr>
          <w:rFonts w:ascii="Times New Roman" w:hAnsi="Times New Roman" w:cs="Times New Roman"/>
          <w:color w:val="000000"/>
          <w:sz w:val="28"/>
          <w:szCs w:val="28"/>
          <w:lang w:bidi="ru-RU"/>
        </w:rPr>
        <w:t>;</w:t>
      </w:r>
    </w:p>
    <w:p w14:paraId="782BCBE1" w14:textId="77777777" w:rsidR="009625C8" w:rsidRPr="009625C8" w:rsidRDefault="009625C8" w:rsidP="009625C8">
      <w:pPr>
        <w:spacing w:after="0"/>
        <w:jc w:val="both"/>
        <w:rPr>
          <w:rFonts w:ascii="Times New Roman" w:hAnsi="Times New Roman" w:cs="Times New Roman"/>
          <w:color w:val="000000"/>
          <w:sz w:val="28"/>
          <w:szCs w:val="28"/>
          <w:lang w:bidi="ru-RU"/>
        </w:rPr>
      </w:pPr>
      <w:r w:rsidRPr="009625C8">
        <w:rPr>
          <w:rFonts w:ascii="Times New Roman" w:hAnsi="Times New Roman" w:cs="Times New Roman"/>
          <w:color w:val="000000"/>
          <w:sz w:val="28"/>
          <w:szCs w:val="28"/>
          <w:lang w:bidi="ru-RU"/>
        </w:rPr>
        <w:t>объе</w:t>
      </w:r>
      <w:r w:rsidR="00D764EB">
        <w:rPr>
          <w:rFonts w:ascii="Times New Roman" w:hAnsi="Times New Roman" w:cs="Times New Roman"/>
          <w:color w:val="000000"/>
          <w:sz w:val="28"/>
          <w:szCs w:val="28"/>
          <w:lang w:bidi="ru-RU"/>
        </w:rPr>
        <w:t>динения туристско-</w:t>
      </w:r>
      <w:r w:rsidRPr="009625C8">
        <w:rPr>
          <w:rFonts w:ascii="Times New Roman" w:hAnsi="Times New Roman" w:cs="Times New Roman"/>
          <w:color w:val="000000"/>
          <w:sz w:val="28"/>
          <w:szCs w:val="28"/>
          <w:lang w:bidi="ru-RU"/>
        </w:rPr>
        <w:t>краеведческого  профиля</w:t>
      </w:r>
      <w:r w:rsidR="00876DD1">
        <w:rPr>
          <w:rFonts w:ascii="Times New Roman" w:hAnsi="Times New Roman" w:cs="Times New Roman"/>
          <w:color w:val="000000"/>
          <w:sz w:val="28"/>
          <w:szCs w:val="28"/>
          <w:lang w:bidi="ru-RU"/>
        </w:rPr>
        <w:t xml:space="preserve"> - 226</w:t>
      </w:r>
      <w:r w:rsidRPr="009625C8">
        <w:rPr>
          <w:rFonts w:ascii="Times New Roman" w:hAnsi="Times New Roman" w:cs="Times New Roman"/>
          <w:color w:val="000000"/>
          <w:sz w:val="28"/>
          <w:szCs w:val="28"/>
          <w:lang w:bidi="ru-RU"/>
        </w:rPr>
        <w:t>;</w:t>
      </w:r>
    </w:p>
    <w:p w14:paraId="43396136" w14:textId="77777777" w:rsidR="009625C8" w:rsidRPr="009625C8" w:rsidRDefault="009625C8" w:rsidP="009625C8">
      <w:pPr>
        <w:spacing w:after="0"/>
        <w:jc w:val="both"/>
        <w:rPr>
          <w:rFonts w:ascii="Times New Roman" w:hAnsi="Times New Roman" w:cs="Times New Roman"/>
          <w:color w:val="000000"/>
          <w:sz w:val="28"/>
          <w:szCs w:val="28"/>
          <w:lang w:bidi="ru-RU"/>
        </w:rPr>
      </w:pPr>
      <w:r w:rsidRPr="009625C8">
        <w:rPr>
          <w:rFonts w:ascii="Times New Roman" w:hAnsi="Times New Roman" w:cs="Times New Roman"/>
          <w:color w:val="000000"/>
          <w:sz w:val="28"/>
          <w:szCs w:val="28"/>
          <w:lang w:bidi="ru-RU"/>
        </w:rPr>
        <w:t>объединения со</w:t>
      </w:r>
      <w:r w:rsidR="00D764EB">
        <w:rPr>
          <w:rFonts w:ascii="Times New Roman" w:hAnsi="Times New Roman" w:cs="Times New Roman"/>
          <w:color w:val="000000"/>
          <w:sz w:val="28"/>
          <w:szCs w:val="28"/>
          <w:lang w:bidi="ru-RU"/>
        </w:rPr>
        <w:t>циально-педагогического профиля</w:t>
      </w:r>
      <w:r w:rsidR="00876DD1">
        <w:rPr>
          <w:rFonts w:ascii="Times New Roman" w:hAnsi="Times New Roman" w:cs="Times New Roman"/>
          <w:color w:val="000000"/>
          <w:sz w:val="28"/>
          <w:szCs w:val="28"/>
          <w:lang w:bidi="ru-RU"/>
        </w:rPr>
        <w:t xml:space="preserve"> - 496</w:t>
      </w:r>
      <w:r w:rsidRPr="009625C8">
        <w:rPr>
          <w:rFonts w:ascii="Times New Roman" w:hAnsi="Times New Roman" w:cs="Times New Roman"/>
          <w:color w:val="000000"/>
          <w:sz w:val="28"/>
          <w:szCs w:val="28"/>
          <w:lang w:bidi="ru-RU"/>
        </w:rPr>
        <w:t>;</w:t>
      </w:r>
    </w:p>
    <w:p w14:paraId="0B5332CE" w14:textId="77777777" w:rsidR="00951CF3" w:rsidRPr="002777BE" w:rsidRDefault="009625C8" w:rsidP="009625C8">
      <w:pPr>
        <w:spacing w:after="0"/>
        <w:jc w:val="both"/>
        <w:rPr>
          <w:rFonts w:ascii="Times New Roman" w:hAnsi="Times New Roman" w:cs="Times New Roman"/>
          <w:b/>
          <w:sz w:val="28"/>
          <w:szCs w:val="28"/>
          <w:u w:val="single"/>
        </w:rPr>
      </w:pPr>
      <w:r w:rsidRPr="009625C8">
        <w:rPr>
          <w:rFonts w:ascii="Times New Roman" w:hAnsi="Times New Roman" w:cs="Times New Roman"/>
          <w:color w:val="000000"/>
          <w:sz w:val="28"/>
          <w:szCs w:val="28"/>
          <w:lang w:bidi="ru-RU"/>
        </w:rPr>
        <w:t>объединения спортивно - оздоровительного профиля</w:t>
      </w:r>
      <w:r w:rsidR="00876DD1">
        <w:rPr>
          <w:rFonts w:ascii="Times New Roman" w:hAnsi="Times New Roman" w:cs="Times New Roman"/>
          <w:color w:val="000000"/>
          <w:sz w:val="28"/>
          <w:szCs w:val="28"/>
          <w:lang w:bidi="ru-RU"/>
        </w:rPr>
        <w:t>- 2888</w:t>
      </w:r>
      <w:r w:rsidRPr="009625C8">
        <w:rPr>
          <w:rFonts w:ascii="Times New Roman" w:hAnsi="Times New Roman" w:cs="Times New Roman"/>
          <w:color w:val="000000"/>
          <w:sz w:val="28"/>
          <w:szCs w:val="28"/>
          <w:lang w:bidi="ru-RU"/>
        </w:rPr>
        <w:t>.</w:t>
      </w:r>
    </w:p>
    <w:p w14:paraId="11D0C8AE" w14:textId="77777777" w:rsidR="00951CF3" w:rsidRPr="00715E75" w:rsidRDefault="00951CF3" w:rsidP="00876DD1">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p>
    <w:p w14:paraId="11AF6566" w14:textId="77777777" w:rsidR="00951CF3" w:rsidRDefault="00F34B7A" w:rsidP="00F34B7A">
      <w:pPr>
        <w:tabs>
          <w:tab w:val="left" w:pos="7531"/>
        </w:tabs>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951CF3">
        <w:rPr>
          <w:rFonts w:ascii="Times New Roman" w:hAnsi="Times New Roman" w:cs="Times New Roman"/>
          <w:b/>
          <w:sz w:val="28"/>
          <w:szCs w:val="28"/>
        </w:rPr>
        <w:t>Приоритеты на 2020/2021</w:t>
      </w:r>
      <w:r w:rsidR="00951CF3" w:rsidRPr="00186C0D">
        <w:rPr>
          <w:rFonts w:ascii="Times New Roman" w:hAnsi="Times New Roman" w:cs="Times New Roman"/>
          <w:b/>
          <w:sz w:val="28"/>
          <w:szCs w:val="28"/>
        </w:rPr>
        <w:t xml:space="preserve"> учебный год</w:t>
      </w:r>
      <w:r w:rsidR="00D764EB">
        <w:rPr>
          <w:rFonts w:ascii="Times New Roman" w:hAnsi="Times New Roman" w:cs="Times New Roman"/>
          <w:b/>
          <w:sz w:val="28"/>
          <w:szCs w:val="28"/>
        </w:rPr>
        <w:t>.</w:t>
      </w:r>
    </w:p>
    <w:p w14:paraId="10D1B7A6" w14:textId="77777777" w:rsidR="00D764EB" w:rsidRDefault="00D764EB" w:rsidP="00F34B7A">
      <w:pPr>
        <w:tabs>
          <w:tab w:val="left" w:pos="7531"/>
        </w:tabs>
        <w:jc w:val="both"/>
        <w:rPr>
          <w:rFonts w:ascii="Times New Roman" w:hAnsi="Times New Roman" w:cs="Times New Roman"/>
          <w:sz w:val="28"/>
          <w:szCs w:val="28"/>
        </w:rPr>
      </w:pPr>
      <w:r>
        <w:rPr>
          <w:rFonts w:ascii="Times New Roman" w:hAnsi="Times New Roman" w:cs="Times New Roman"/>
          <w:b/>
          <w:sz w:val="28"/>
          <w:szCs w:val="28"/>
        </w:rPr>
        <w:t xml:space="preserve">    </w:t>
      </w:r>
      <w:r w:rsidR="00876DD1">
        <w:rPr>
          <w:rFonts w:ascii="Times New Roman" w:hAnsi="Times New Roman" w:cs="Times New Roman"/>
          <w:sz w:val="28"/>
          <w:szCs w:val="28"/>
        </w:rPr>
        <w:t>Н</w:t>
      </w:r>
      <w:r w:rsidRPr="00876DD1">
        <w:rPr>
          <w:rFonts w:ascii="Times New Roman" w:hAnsi="Times New Roman" w:cs="Times New Roman"/>
          <w:sz w:val="28"/>
          <w:szCs w:val="28"/>
        </w:rPr>
        <w:t>овый</w:t>
      </w:r>
      <w:r>
        <w:rPr>
          <w:rFonts w:ascii="Times New Roman" w:hAnsi="Times New Roman" w:cs="Times New Roman"/>
          <w:b/>
          <w:sz w:val="28"/>
          <w:szCs w:val="28"/>
        </w:rPr>
        <w:t xml:space="preserve"> </w:t>
      </w:r>
      <w:r w:rsidR="00876DD1">
        <w:rPr>
          <w:rFonts w:ascii="Times New Roman" w:hAnsi="Times New Roman" w:cs="Times New Roman"/>
          <w:sz w:val="28"/>
          <w:szCs w:val="28"/>
        </w:rPr>
        <w:t>учебный год ставит новые задачи</w:t>
      </w:r>
      <w:r>
        <w:rPr>
          <w:rFonts w:ascii="Times New Roman" w:hAnsi="Times New Roman" w:cs="Times New Roman"/>
          <w:sz w:val="28"/>
          <w:szCs w:val="28"/>
        </w:rPr>
        <w:t xml:space="preserve">. </w:t>
      </w:r>
    </w:p>
    <w:p w14:paraId="587F1A9E" w14:textId="77777777" w:rsidR="00951CF3" w:rsidRPr="00876DD1" w:rsidRDefault="00D764EB" w:rsidP="00951CF3">
      <w:pPr>
        <w:pStyle w:val="a4"/>
        <w:numPr>
          <w:ilvl w:val="0"/>
          <w:numId w:val="4"/>
        </w:numPr>
        <w:tabs>
          <w:tab w:val="left" w:pos="7531"/>
        </w:tabs>
        <w:jc w:val="both"/>
        <w:rPr>
          <w:rFonts w:ascii="Times New Roman" w:hAnsi="Times New Roman" w:cs="Times New Roman"/>
          <w:b/>
          <w:sz w:val="28"/>
          <w:szCs w:val="28"/>
        </w:rPr>
      </w:pPr>
      <w:r w:rsidRPr="00D764EB">
        <w:rPr>
          <w:rFonts w:ascii="Times New Roman" w:hAnsi="Times New Roman" w:cs="Times New Roman"/>
          <w:bCs/>
          <w:color w:val="000000"/>
          <w:spacing w:val="3"/>
          <w:sz w:val="28"/>
          <w:szCs w:val="28"/>
        </w:rPr>
        <w:t>В школах появятся новые программы воспитания учеников: интересные, неформальные, которые действительно помогут ребятам гармонично войти в жизнь современного российского общества.</w:t>
      </w:r>
      <w:r w:rsidRPr="00D764EB">
        <w:rPr>
          <w:rStyle w:val="apple-converted-space"/>
          <w:rFonts w:ascii="Times New Roman" w:hAnsi="Times New Roman" w:cs="Times New Roman"/>
          <w:bCs/>
          <w:color w:val="000000"/>
          <w:spacing w:val="3"/>
          <w:sz w:val="28"/>
          <w:szCs w:val="28"/>
        </w:rPr>
        <w:t xml:space="preserve"> В закон «Об образовании в Российской Федерации» внесены соответствующие поправки. </w:t>
      </w:r>
      <w:r w:rsidRPr="00D764EB">
        <w:rPr>
          <w:rFonts w:ascii="Times New Roman" w:hAnsi="Times New Roman" w:cs="Times New Roman"/>
          <w:color w:val="000000"/>
          <w:spacing w:val="3"/>
          <w:sz w:val="28"/>
          <w:szCs w:val="28"/>
        </w:rPr>
        <w:t>Выведены на новый уровень такие понятия, как формирование чувства патриотизма, гражданственности подрастающего поколения. Фактически он возвращает воспитательную функцию в школы, нормативно закрепляет ее.</w:t>
      </w:r>
      <w:r w:rsidR="00876DD1">
        <w:rPr>
          <w:rFonts w:ascii="Times New Roman" w:hAnsi="Times New Roman" w:cs="Times New Roman"/>
          <w:color w:val="000000"/>
          <w:spacing w:val="3"/>
          <w:sz w:val="28"/>
          <w:szCs w:val="28"/>
        </w:rPr>
        <w:t xml:space="preserve"> Для реализации поставленной задачи предусмотрены выплаты классным руководителям в размере 5,0 тыс. руб.</w:t>
      </w:r>
    </w:p>
    <w:p w14:paraId="1F2D0BE6" w14:textId="77777777" w:rsidR="00876DD1" w:rsidRDefault="00876DD1" w:rsidP="00876DD1">
      <w:pPr>
        <w:pStyle w:val="a4"/>
        <w:numPr>
          <w:ilvl w:val="0"/>
          <w:numId w:val="4"/>
        </w:numPr>
        <w:tabs>
          <w:tab w:val="left" w:pos="7531"/>
        </w:tabs>
        <w:jc w:val="both"/>
        <w:rPr>
          <w:rFonts w:ascii="Times New Roman" w:hAnsi="Times New Roman" w:cs="Times New Roman"/>
          <w:sz w:val="28"/>
          <w:szCs w:val="28"/>
        </w:rPr>
      </w:pPr>
      <w:r w:rsidRPr="00876DD1">
        <w:rPr>
          <w:rFonts w:ascii="Times New Roman" w:hAnsi="Times New Roman" w:cs="Times New Roman"/>
          <w:sz w:val="28"/>
          <w:szCs w:val="28"/>
        </w:rPr>
        <w:t>Президент России Владимир Путин подписал закон о предоставлении бесплатного горячего питания учащимся начальной школы (с первого по четвертый классы).</w:t>
      </w:r>
      <w:r>
        <w:rPr>
          <w:rFonts w:ascii="Times New Roman" w:hAnsi="Times New Roman" w:cs="Times New Roman"/>
          <w:sz w:val="28"/>
          <w:szCs w:val="28"/>
        </w:rPr>
        <w:t xml:space="preserve"> Для успешной реализации инициативы необходим ответственный подход со стороны администрации учреждений.</w:t>
      </w:r>
    </w:p>
    <w:p w14:paraId="1E2E2AA2" w14:textId="77777777" w:rsidR="00876DD1" w:rsidRPr="00876DD1" w:rsidRDefault="00876DD1" w:rsidP="00876DD1">
      <w:pPr>
        <w:pStyle w:val="a4"/>
        <w:numPr>
          <w:ilvl w:val="0"/>
          <w:numId w:val="4"/>
        </w:numPr>
        <w:tabs>
          <w:tab w:val="left" w:pos="7531"/>
        </w:tabs>
        <w:jc w:val="both"/>
        <w:rPr>
          <w:rFonts w:ascii="Times New Roman" w:hAnsi="Times New Roman" w:cs="Times New Roman"/>
          <w:sz w:val="28"/>
          <w:szCs w:val="28"/>
        </w:rPr>
      </w:pPr>
      <w:r w:rsidRPr="00876DD1">
        <w:rPr>
          <w:rFonts w:ascii="Times New Roman" w:hAnsi="Times New Roman" w:cs="Times New Roman"/>
          <w:color w:val="000000"/>
          <w:sz w:val="28"/>
          <w:szCs w:val="28"/>
        </w:rPr>
        <w:t>Развитие</w:t>
      </w:r>
      <w:r w:rsidRPr="00876DD1">
        <w:rPr>
          <w:rStyle w:val="apple-converted-space"/>
          <w:rFonts w:ascii="Times New Roman" w:hAnsi="Times New Roman" w:cs="Times New Roman"/>
          <w:color w:val="000000"/>
          <w:sz w:val="28"/>
          <w:szCs w:val="28"/>
        </w:rPr>
        <w:t> </w:t>
      </w:r>
      <w:r w:rsidRPr="00876DD1">
        <w:rPr>
          <w:rStyle w:val="hl"/>
          <w:rFonts w:ascii="Times New Roman" w:hAnsi="Times New Roman" w:cs="Times New Roman"/>
          <w:color w:val="000000"/>
          <w:sz w:val="28"/>
          <w:szCs w:val="28"/>
          <w:bdr w:val="none" w:sz="0" w:space="0" w:color="auto" w:frame="1"/>
          <w:shd w:val="clear" w:color="auto" w:fill="EEEEEE"/>
        </w:rPr>
        <w:t>цифровых технологий</w:t>
      </w:r>
      <w:r w:rsidRPr="00876DD1">
        <w:rPr>
          <w:rStyle w:val="apple-converted-space"/>
          <w:rFonts w:ascii="Times New Roman" w:hAnsi="Times New Roman" w:cs="Times New Roman"/>
          <w:color w:val="000000"/>
          <w:sz w:val="28"/>
          <w:szCs w:val="28"/>
        </w:rPr>
        <w:t> </w:t>
      </w:r>
      <w:r w:rsidRPr="00876DD1">
        <w:rPr>
          <w:rFonts w:ascii="Times New Roman" w:hAnsi="Times New Roman" w:cs="Times New Roman"/>
          <w:color w:val="000000"/>
          <w:sz w:val="28"/>
          <w:szCs w:val="28"/>
        </w:rPr>
        <w:t>в сфере образования диктуется актуальностью и поддерживается на государственном уровне и широкой общественностью.</w:t>
      </w:r>
      <w:r w:rsidRPr="00876DD1">
        <w:rPr>
          <w:rStyle w:val="apple-converted-space"/>
          <w:rFonts w:ascii="Times New Roman" w:hAnsi="Times New Roman" w:cs="Times New Roman"/>
          <w:color w:val="000000"/>
          <w:sz w:val="28"/>
          <w:szCs w:val="28"/>
        </w:rPr>
        <w:t> </w:t>
      </w:r>
      <w:r w:rsidRPr="00876DD1">
        <w:rPr>
          <w:rStyle w:val="hl"/>
          <w:rFonts w:ascii="Times New Roman" w:hAnsi="Times New Roman" w:cs="Times New Roman"/>
          <w:color w:val="000000"/>
          <w:sz w:val="28"/>
          <w:szCs w:val="28"/>
          <w:bdr w:val="none" w:sz="0" w:space="0" w:color="auto" w:frame="1"/>
          <w:shd w:val="clear" w:color="auto" w:fill="EEEEEE"/>
        </w:rPr>
        <w:t>Цифровизация</w:t>
      </w:r>
      <w:r w:rsidRPr="00876DD1">
        <w:rPr>
          <w:rStyle w:val="apple-converted-space"/>
          <w:rFonts w:ascii="Times New Roman" w:hAnsi="Times New Roman" w:cs="Times New Roman"/>
          <w:color w:val="000000"/>
          <w:sz w:val="28"/>
          <w:szCs w:val="28"/>
        </w:rPr>
        <w:t> </w:t>
      </w:r>
      <w:r w:rsidRPr="00876DD1">
        <w:rPr>
          <w:rFonts w:ascii="Times New Roman" w:hAnsi="Times New Roman" w:cs="Times New Roman"/>
          <w:color w:val="000000"/>
          <w:sz w:val="28"/>
          <w:szCs w:val="28"/>
        </w:rPr>
        <w:t>это новая социальная ситуация «цифрового разрыва», «цифрового гражданства», «цифровой социализации». Основные изменения в образовании связаны с</w:t>
      </w:r>
      <w:r w:rsidRPr="00876DD1">
        <w:rPr>
          <w:rStyle w:val="apple-converted-space"/>
          <w:rFonts w:ascii="Times New Roman" w:hAnsi="Times New Roman" w:cs="Times New Roman"/>
          <w:color w:val="000000"/>
          <w:sz w:val="28"/>
          <w:szCs w:val="28"/>
        </w:rPr>
        <w:t> </w:t>
      </w:r>
      <w:r w:rsidRPr="00876DD1">
        <w:rPr>
          <w:rStyle w:val="hl"/>
          <w:rFonts w:ascii="Times New Roman" w:hAnsi="Times New Roman" w:cs="Times New Roman"/>
          <w:color w:val="000000"/>
          <w:sz w:val="28"/>
          <w:szCs w:val="28"/>
          <w:bdr w:val="none" w:sz="0" w:space="0" w:color="auto" w:frame="1"/>
          <w:shd w:val="clear" w:color="auto" w:fill="EEEEEE"/>
        </w:rPr>
        <w:t>цифровизацией</w:t>
      </w:r>
      <w:r w:rsidRPr="00876DD1">
        <w:rPr>
          <w:rStyle w:val="apple-converted-space"/>
          <w:rFonts w:ascii="Times New Roman" w:hAnsi="Times New Roman" w:cs="Times New Roman"/>
          <w:color w:val="000000"/>
          <w:sz w:val="28"/>
          <w:szCs w:val="28"/>
        </w:rPr>
        <w:t> </w:t>
      </w:r>
      <w:r w:rsidRPr="00876DD1">
        <w:rPr>
          <w:rFonts w:ascii="Times New Roman" w:hAnsi="Times New Roman" w:cs="Times New Roman"/>
          <w:color w:val="000000"/>
          <w:sz w:val="28"/>
          <w:szCs w:val="28"/>
        </w:rPr>
        <w:t>образования.</w:t>
      </w:r>
      <w:r w:rsidRPr="00876DD1">
        <w:rPr>
          <w:rStyle w:val="apple-converted-space"/>
          <w:rFonts w:ascii="Times New Roman" w:hAnsi="Times New Roman" w:cs="Times New Roman"/>
          <w:color w:val="000000"/>
          <w:sz w:val="28"/>
          <w:szCs w:val="28"/>
        </w:rPr>
        <w:t> </w:t>
      </w:r>
    </w:p>
    <w:p w14:paraId="6C26458B" w14:textId="77777777" w:rsidR="00951CF3" w:rsidRDefault="00951CF3" w:rsidP="00951CF3">
      <w:pPr>
        <w:jc w:val="both"/>
        <w:rPr>
          <w:rFonts w:ascii="Times New Roman" w:hAnsi="Times New Roman" w:cs="Times New Roman"/>
          <w:sz w:val="28"/>
          <w:szCs w:val="28"/>
        </w:rPr>
      </w:pPr>
    </w:p>
    <w:p w14:paraId="1346C449" w14:textId="77777777" w:rsidR="00D43DD7" w:rsidRDefault="00D43DD7" w:rsidP="005E51D7">
      <w:pPr>
        <w:tabs>
          <w:tab w:val="left" w:pos="720"/>
        </w:tabs>
        <w:spacing w:after="0"/>
        <w:jc w:val="both"/>
        <w:rPr>
          <w:rFonts w:ascii="Times New Roman" w:hAnsi="Times New Roman" w:cs="Times New Roman"/>
          <w:sz w:val="28"/>
          <w:szCs w:val="28"/>
        </w:rPr>
      </w:pPr>
    </w:p>
    <w:p w14:paraId="1CE4CF75" w14:textId="77777777" w:rsidR="005E51D7" w:rsidRPr="005E51D7" w:rsidRDefault="005E51D7" w:rsidP="005E51D7">
      <w:pPr>
        <w:tabs>
          <w:tab w:val="left" w:pos="142"/>
        </w:tabs>
        <w:spacing w:after="0"/>
        <w:jc w:val="both"/>
        <w:rPr>
          <w:rFonts w:ascii="Times New Roman" w:hAnsi="Times New Roman" w:cs="Times New Roman"/>
          <w:sz w:val="28"/>
          <w:szCs w:val="28"/>
        </w:rPr>
      </w:pPr>
    </w:p>
    <w:p w14:paraId="10F7720E" w14:textId="77777777" w:rsidR="005E51D7" w:rsidRPr="005E51D7" w:rsidRDefault="005E51D7" w:rsidP="005E51D7">
      <w:pPr>
        <w:spacing w:after="0" w:line="240" w:lineRule="auto"/>
        <w:jc w:val="both"/>
        <w:rPr>
          <w:rFonts w:cs="Times New Roman"/>
          <w:b/>
          <w:szCs w:val="28"/>
        </w:rPr>
      </w:pPr>
    </w:p>
    <w:p w14:paraId="7FDF3F8D" w14:textId="77777777" w:rsidR="00A941C9" w:rsidRPr="00A941C9" w:rsidRDefault="00A941C9" w:rsidP="00A941C9">
      <w:pPr>
        <w:jc w:val="both"/>
        <w:rPr>
          <w:rFonts w:ascii="Times New Roman" w:hAnsi="Times New Roman" w:cs="Times New Roman"/>
          <w:sz w:val="28"/>
          <w:szCs w:val="28"/>
        </w:rPr>
      </w:pPr>
    </w:p>
    <w:sectPr w:rsidR="00A941C9" w:rsidRPr="00A94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331B"/>
    <w:multiLevelType w:val="hybridMultilevel"/>
    <w:tmpl w:val="F990D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F4FE7"/>
    <w:multiLevelType w:val="hybridMultilevel"/>
    <w:tmpl w:val="4984E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B41259"/>
    <w:multiLevelType w:val="hybridMultilevel"/>
    <w:tmpl w:val="10F6F80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72FE5CB1"/>
    <w:multiLevelType w:val="hybridMultilevel"/>
    <w:tmpl w:val="EC4EF4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C9"/>
    <w:rsid w:val="002777BE"/>
    <w:rsid w:val="002E22DA"/>
    <w:rsid w:val="00367475"/>
    <w:rsid w:val="00450A5F"/>
    <w:rsid w:val="0051183C"/>
    <w:rsid w:val="005E51D7"/>
    <w:rsid w:val="00812102"/>
    <w:rsid w:val="00876DD1"/>
    <w:rsid w:val="008E55DD"/>
    <w:rsid w:val="008F7A80"/>
    <w:rsid w:val="00951CF3"/>
    <w:rsid w:val="009625C8"/>
    <w:rsid w:val="00A941C9"/>
    <w:rsid w:val="00D43DD7"/>
    <w:rsid w:val="00D764EB"/>
    <w:rsid w:val="00F34B7A"/>
    <w:rsid w:val="00F7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56F7"/>
  <w15:docId w15:val="{99E09798-1212-41D5-ADB4-A12B6FF1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941C9"/>
    <w:rPr>
      <w:i/>
      <w:iCs/>
    </w:rPr>
  </w:style>
  <w:style w:type="paragraph" w:styleId="a4">
    <w:name w:val="List Paragraph"/>
    <w:basedOn w:val="a"/>
    <w:uiPriority w:val="34"/>
    <w:qFormat/>
    <w:rsid w:val="00A941C9"/>
    <w:pPr>
      <w:ind w:left="720"/>
      <w:contextualSpacing/>
    </w:pPr>
  </w:style>
  <w:style w:type="character" w:customStyle="1" w:styleId="2">
    <w:name w:val="Основной текст (2)_"/>
    <w:link w:val="20"/>
    <w:rsid w:val="00951CF3"/>
    <w:rPr>
      <w:sz w:val="26"/>
      <w:szCs w:val="26"/>
      <w:shd w:val="clear" w:color="auto" w:fill="FFFFFF"/>
    </w:rPr>
  </w:style>
  <w:style w:type="paragraph" w:customStyle="1" w:styleId="20">
    <w:name w:val="Основной текст (2)"/>
    <w:basedOn w:val="a"/>
    <w:link w:val="2"/>
    <w:rsid w:val="00951CF3"/>
    <w:pPr>
      <w:widowControl w:val="0"/>
      <w:shd w:val="clear" w:color="auto" w:fill="FFFFFF"/>
      <w:spacing w:after="0" w:line="326" w:lineRule="exact"/>
      <w:jc w:val="center"/>
    </w:pPr>
    <w:rPr>
      <w:sz w:val="26"/>
      <w:szCs w:val="26"/>
    </w:rPr>
  </w:style>
  <w:style w:type="paragraph" w:styleId="a5">
    <w:name w:val="Normal (Web)"/>
    <w:basedOn w:val="a"/>
    <w:rsid w:val="00951C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95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764EB"/>
  </w:style>
  <w:style w:type="character" w:customStyle="1" w:styleId="hl">
    <w:name w:val="hl"/>
    <w:basedOn w:val="a0"/>
    <w:rsid w:val="0087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GORONO</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2</cp:revision>
  <cp:lastPrinted>2020-08-25T14:21:00Z</cp:lastPrinted>
  <dcterms:created xsi:type="dcterms:W3CDTF">2021-04-26T12:17:00Z</dcterms:created>
  <dcterms:modified xsi:type="dcterms:W3CDTF">2021-04-26T12:17:00Z</dcterms:modified>
</cp:coreProperties>
</file>